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adjustRightInd w:val="0"/>
        <w:snapToGrid w:val="0"/>
        <w:spacing w:after="0" w:afterAutospacing="0" w:line="276" w:lineRule="auto"/>
        <w:ind w:right="300" w:firstLine="643" w:firstLineChars="200"/>
        <w:jc w:val="center"/>
        <w:rPr>
          <w:rFonts w:ascii="宋体" w:hAnsi="宋体" w:cs="宋体"/>
          <w:b/>
          <w:bCs/>
          <w:sz w:val="32"/>
          <w:szCs w:val="32"/>
        </w:rPr>
      </w:pPr>
      <w:r>
        <w:rPr>
          <w:rFonts w:hint="eastAsia" w:ascii="黑体" w:hAnsi="黑体" w:eastAsia="黑体" w:cs="黑体"/>
          <w:b/>
          <w:bCs/>
          <w:sz w:val="32"/>
          <w:szCs w:val="32"/>
        </w:rPr>
        <w:t>采购代理机构服务需求</w:t>
      </w:r>
    </w:p>
    <w:p>
      <w:pPr>
        <w:pStyle w:val="6"/>
        <w:widowControl/>
        <w:adjustRightInd w:val="0"/>
        <w:snapToGrid w:val="0"/>
        <w:spacing w:after="0" w:afterAutospacing="0" w:line="276" w:lineRule="auto"/>
        <w:ind w:right="300" w:firstLine="480" w:firstLineChars="200"/>
      </w:pPr>
      <w:r>
        <w:rPr>
          <w:rFonts w:hint="eastAsia" w:ascii="宋体" w:hAnsi="宋体" w:cs="宋体"/>
        </w:rPr>
        <w:t>根据健共体业务情况，为加强招标采购项目的管理、提高招标采购工作质量，拟遴选采购项目采购代理机构服务。</w:t>
      </w:r>
    </w:p>
    <w:p>
      <w:pPr>
        <w:pStyle w:val="6"/>
        <w:widowControl/>
        <w:adjustRightInd w:val="0"/>
        <w:snapToGrid w:val="0"/>
        <w:spacing w:after="0" w:afterAutospacing="0" w:line="276" w:lineRule="auto"/>
        <w:ind w:right="300" w:firstLine="482" w:firstLineChars="200"/>
      </w:pPr>
      <w:r>
        <w:rPr>
          <w:rStyle w:val="9"/>
          <w:rFonts w:hint="eastAsia" w:ascii="Times New Roman" w:hAnsi="Times New Roman"/>
        </w:rPr>
        <w:t>一、</w:t>
      </w:r>
      <w:r>
        <w:rPr>
          <w:rStyle w:val="9"/>
          <w:rFonts w:ascii="Times New Roman" w:hAnsi="Times New Roman"/>
        </w:rPr>
        <w:t> </w:t>
      </w:r>
      <w:r>
        <w:rPr>
          <w:rStyle w:val="9"/>
          <w:rFonts w:hint="eastAsia" w:ascii="宋体" w:hAnsi="宋体" w:cs="宋体"/>
        </w:rPr>
        <w:t>采购内容</w:t>
      </w:r>
    </w:p>
    <w:tbl>
      <w:tblPr>
        <w:tblStyle w:val="7"/>
        <w:tblW w:w="0" w:type="auto"/>
        <w:tblCellSpacing w:w="0" w:type="dxa"/>
        <w:tblInd w:w="315" w:type="dxa"/>
        <w:tblLayout w:type="fixed"/>
        <w:tblCellMar>
          <w:top w:w="0" w:type="dxa"/>
          <w:left w:w="0" w:type="dxa"/>
          <w:bottom w:w="0" w:type="dxa"/>
          <w:right w:w="0" w:type="dxa"/>
        </w:tblCellMar>
      </w:tblPr>
      <w:tblGrid>
        <w:gridCol w:w="1120"/>
        <w:gridCol w:w="2153"/>
        <w:gridCol w:w="1148"/>
        <w:gridCol w:w="1148"/>
        <w:gridCol w:w="1259"/>
        <w:gridCol w:w="1531"/>
      </w:tblGrid>
      <w:tr>
        <w:tblPrEx>
          <w:tblCellMar>
            <w:top w:w="0" w:type="dxa"/>
            <w:left w:w="0" w:type="dxa"/>
            <w:bottom w:w="0" w:type="dxa"/>
            <w:right w:w="0" w:type="dxa"/>
          </w:tblCellMar>
        </w:tblPrEx>
        <w:trPr>
          <w:trHeight w:val="420" w:hRule="atLeast"/>
          <w:tblCellSpacing w:w="0" w:type="dxa"/>
        </w:trPr>
        <w:tc>
          <w:tcPr>
            <w:tcW w:w="112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jc w:val="center"/>
            </w:pPr>
            <w:r>
              <w:rPr>
                <w:rFonts w:hint="eastAsia" w:ascii="宋体" w:hAnsi="宋体" w:cs="宋体"/>
              </w:rPr>
              <w:t>采购内容</w:t>
            </w:r>
          </w:p>
        </w:tc>
        <w:tc>
          <w:tcPr>
            <w:tcW w:w="2153" w:type="dxa"/>
            <w:tcBorders>
              <w:top w:val="single" w:color="auto" w:sz="6" w:space="0"/>
              <w:left w:val="nil"/>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jc w:val="center"/>
            </w:pPr>
            <w:r>
              <w:rPr>
                <w:rFonts w:hint="eastAsia" w:ascii="宋体" w:hAnsi="宋体" w:cs="宋体"/>
              </w:rPr>
              <w:t>服务内容</w:t>
            </w:r>
          </w:p>
        </w:tc>
        <w:tc>
          <w:tcPr>
            <w:tcW w:w="1148" w:type="dxa"/>
            <w:tcBorders>
              <w:top w:val="single" w:color="auto" w:sz="6" w:space="0"/>
              <w:left w:val="nil"/>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jc w:val="center"/>
            </w:pPr>
            <w:r>
              <w:rPr>
                <w:rFonts w:hint="eastAsia" w:ascii="宋体" w:hAnsi="宋体" w:cs="宋体"/>
              </w:rPr>
              <w:t>选定代理机构数量</w:t>
            </w:r>
          </w:p>
        </w:tc>
        <w:tc>
          <w:tcPr>
            <w:tcW w:w="1148" w:type="dxa"/>
            <w:tcBorders>
              <w:top w:val="single" w:color="auto" w:sz="6" w:space="0"/>
              <w:left w:val="nil"/>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jc w:val="center"/>
            </w:pPr>
            <w:r>
              <w:rPr>
                <w:rFonts w:hint="eastAsia" w:ascii="宋体" w:hAnsi="宋体" w:cs="宋体"/>
              </w:rPr>
              <w:t>服务期限（年）</w:t>
            </w:r>
          </w:p>
        </w:tc>
        <w:tc>
          <w:tcPr>
            <w:tcW w:w="1259" w:type="dxa"/>
            <w:tcBorders>
              <w:top w:val="single" w:color="auto" w:sz="6" w:space="0"/>
              <w:left w:val="nil"/>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jc w:val="center"/>
              <w:rPr>
                <w:rFonts w:ascii="宋体" w:hAnsi="宋体" w:cs="宋体"/>
              </w:rPr>
            </w:pPr>
            <w:r>
              <w:rPr>
                <w:rFonts w:hint="eastAsia" w:ascii="宋体" w:hAnsi="宋体" w:cs="宋体"/>
              </w:rPr>
              <w:t>预算金额（元）</w:t>
            </w:r>
          </w:p>
        </w:tc>
        <w:tc>
          <w:tcPr>
            <w:tcW w:w="1531" w:type="dxa"/>
            <w:tcBorders>
              <w:top w:val="single" w:color="auto" w:sz="6" w:space="0"/>
              <w:left w:val="nil"/>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jc w:val="center"/>
              <w:rPr>
                <w:rFonts w:ascii="宋体" w:hAnsi="宋体" w:cs="宋体"/>
              </w:rPr>
            </w:pPr>
            <w:r>
              <w:rPr>
                <w:rFonts w:hint="eastAsia" w:ascii="宋体" w:hAnsi="宋体" w:cs="宋体"/>
              </w:rPr>
              <w:t>服务地点</w:t>
            </w:r>
          </w:p>
        </w:tc>
      </w:tr>
      <w:tr>
        <w:tblPrEx>
          <w:tblCellMar>
            <w:top w:w="0" w:type="dxa"/>
            <w:left w:w="0" w:type="dxa"/>
            <w:bottom w:w="0" w:type="dxa"/>
            <w:right w:w="0" w:type="dxa"/>
          </w:tblCellMar>
        </w:tblPrEx>
        <w:trPr>
          <w:trHeight w:val="2878" w:hRule="atLeast"/>
          <w:tblCellSpacing w:w="0" w:type="dxa"/>
        </w:trPr>
        <w:tc>
          <w:tcPr>
            <w:tcW w:w="1120" w:type="dxa"/>
            <w:tcBorders>
              <w:top w:val="nil"/>
              <w:left w:val="single" w:color="auto" w:sz="6" w:space="0"/>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pPr>
            <w:r>
              <w:rPr>
                <w:rFonts w:hint="eastAsia" w:ascii="宋体" w:hAnsi="宋体" w:cs="宋体"/>
              </w:rPr>
              <w:t>代理机构服务</w:t>
            </w:r>
          </w:p>
        </w:tc>
        <w:tc>
          <w:tcPr>
            <w:tcW w:w="2153" w:type="dxa"/>
            <w:tcBorders>
              <w:top w:val="nil"/>
              <w:left w:val="nil"/>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line="260" w:lineRule="exact"/>
              <w:rPr>
                <w:rFonts w:ascii="宋体" w:hAnsi="宋体" w:cs="宋体"/>
              </w:rPr>
            </w:pPr>
            <w:r>
              <w:rPr>
                <w:rFonts w:hint="eastAsia" w:ascii="宋体" w:hAnsi="宋体" w:cs="宋体"/>
              </w:rPr>
              <w:t>①信息</w:t>
            </w:r>
            <w:r>
              <w:rPr>
                <w:rFonts w:hint="eastAsia" w:ascii="宋体" w:hAnsi="宋体" w:cs="宋体"/>
                <w:lang w:val="en-US" w:eastAsia="zh-CN"/>
              </w:rPr>
              <w:t>软件</w:t>
            </w:r>
            <w:r>
              <w:rPr>
                <w:rFonts w:hint="eastAsia" w:ascii="宋体" w:hAnsi="宋体" w:cs="宋体"/>
              </w:rPr>
              <w:t>类</w:t>
            </w:r>
          </w:p>
          <w:p>
            <w:pPr>
              <w:pStyle w:val="6"/>
              <w:widowControl/>
              <w:adjustRightInd w:val="0"/>
              <w:snapToGrid w:val="0"/>
              <w:spacing w:after="0" w:afterAutospacing="0" w:line="260" w:lineRule="exact"/>
              <w:rPr>
                <w:rFonts w:ascii="宋体" w:hAnsi="宋体" w:cs="宋体"/>
              </w:rPr>
            </w:pPr>
            <w:r>
              <w:rPr>
                <w:rFonts w:hint="eastAsia" w:ascii="宋体" w:hAnsi="宋体" w:cs="宋体"/>
              </w:rPr>
              <w:t>②医疗设备类</w:t>
            </w:r>
          </w:p>
          <w:p>
            <w:pPr>
              <w:pStyle w:val="6"/>
              <w:widowControl/>
              <w:adjustRightInd w:val="0"/>
              <w:snapToGrid w:val="0"/>
              <w:spacing w:after="0" w:afterAutospacing="0" w:line="260" w:lineRule="exact"/>
              <w:rPr>
                <w:rFonts w:ascii="宋体" w:hAnsi="宋体" w:cs="宋体"/>
              </w:rPr>
            </w:pPr>
            <w:r>
              <w:rPr>
                <w:rFonts w:hint="eastAsia" w:ascii="宋体" w:hAnsi="宋体" w:cs="宋体"/>
              </w:rPr>
              <w:t>③工程类</w:t>
            </w:r>
          </w:p>
          <w:p>
            <w:pPr>
              <w:pStyle w:val="6"/>
              <w:widowControl/>
              <w:adjustRightInd w:val="0"/>
              <w:snapToGrid w:val="0"/>
              <w:spacing w:after="0" w:afterAutospacing="0" w:line="260" w:lineRule="exact"/>
              <w:rPr>
                <w:rFonts w:cs="Calibri"/>
              </w:rPr>
            </w:pPr>
            <w:r>
              <w:rPr>
                <w:rFonts w:hint="eastAsia" w:cs="Calibri"/>
              </w:rPr>
              <w:t>④普通货物和服务类</w:t>
            </w:r>
          </w:p>
          <w:p>
            <w:pPr>
              <w:pStyle w:val="6"/>
              <w:widowControl/>
              <w:adjustRightInd w:val="0"/>
              <w:snapToGrid w:val="0"/>
              <w:spacing w:after="0" w:afterAutospacing="0" w:line="260" w:lineRule="exact"/>
            </w:pPr>
            <w:r>
              <w:rPr>
                <w:rFonts w:hint="eastAsia" w:cs="Calibri"/>
              </w:rPr>
              <w:t>⑤产权交易类</w:t>
            </w:r>
          </w:p>
        </w:tc>
        <w:tc>
          <w:tcPr>
            <w:tcW w:w="1148" w:type="dxa"/>
            <w:tcBorders>
              <w:top w:val="nil"/>
              <w:left w:val="nil"/>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ind w:firstLine="240" w:firstLineChars="100"/>
            </w:pPr>
            <w:r>
              <w:t>3</w:t>
            </w:r>
            <w:r>
              <w:rPr>
                <w:rFonts w:hint="eastAsia" w:ascii="宋体" w:hAnsi="宋体" w:cs="宋体"/>
              </w:rPr>
              <w:t>家</w:t>
            </w:r>
          </w:p>
        </w:tc>
        <w:tc>
          <w:tcPr>
            <w:tcW w:w="1148" w:type="dxa"/>
            <w:tcBorders>
              <w:top w:val="nil"/>
              <w:left w:val="nil"/>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jc w:val="center"/>
            </w:pPr>
            <w:r>
              <w:rPr>
                <w:rFonts w:hint="eastAsia" w:ascii="宋体" w:hAnsi="宋体" w:cs="宋体"/>
              </w:rPr>
              <w:t>3年</w:t>
            </w:r>
          </w:p>
        </w:tc>
        <w:tc>
          <w:tcPr>
            <w:tcW w:w="1259" w:type="dxa"/>
            <w:tcBorders>
              <w:top w:val="nil"/>
              <w:left w:val="nil"/>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ind w:firstLine="480" w:firstLineChars="200"/>
              <w:rPr>
                <w:rFonts w:ascii="宋体" w:hAnsi="宋体" w:cs="宋体"/>
              </w:rPr>
            </w:pPr>
            <w:r>
              <w:rPr>
                <w:rFonts w:hint="eastAsia" w:ascii="宋体" w:hAnsi="宋体" w:cs="宋体"/>
              </w:rPr>
              <w:t>0</w:t>
            </w:r>
          </w:p>
        </w:tc>
        <w:tc>
          <w:tcPr>
            <w:tcW w:w="1531" w:type="dxa"/>
            <w:tcBorders>
              <w:top w:val="nil"/>
              <w:left w:val="nil"/>
              <w:bottom w:val="single" w:color="auto" w:sz="6" w:space="0"/>
              <w:right w:val="single" w:color="auto" w:sz="6" w:space="0"/>
            </w:tcBorders>
            <w:tcMar>
              <w:left w:w="105" w:type="dxa"/>
              <w:right w:w="105" w:type="dxa"/>
            </w:tcMar>
            <w:vAlign w:val="center"/>
          </w:tcPr>
          <w:p>
            <w:pPr>
              <w:pStyle w:val="6"/>
              <w:widowControl/>
              <w:adjustRightInd w:val="0"/>
              <w:snapToGrid w:val="0"/>
              <w:spacing w:after="0" w:afterAutospacing="0"/>
              <w:rPr>
                <w:rFonts w:ascii="宋体" w:hAnsi="宋体" w:cs="宋体"/>
              </w:rPr>
            </w:pPr>
            <w:r>
              <w:rPr>
                <w:rFonts w:hint="eastAsia" w:ascii="宋体" w:hAnsi="宋体" w:cs="宋体"/>
              </w:rPr>
              <w:t>佛山市顺德区乐从镇健康共同体指定地点</w:t>
            </w:r>
          </w:p>
        </w:tc>
      </w:tr>
    </w:tbl>
    <w:p>
      <w:pPr>
        <w:adjustRightInd w:val="0"/>
        <w:snapToGrid w:val="0"/>
        <w:spacing w:line="276" w:lineRule="auto"/>
        <w:ind w:firstLine="482" w:firstLineChars="200"/>
        <w:jc w:val="left"/>
        <w:rPr>
          <w:rFonts w:ascii="宋体" w:hAnsi="宋体"/>
          <w:b/>
          <w:bCs/>
          <w:sz w:val="24"/>
        </w:rPr>
      </w:pPr>
      <w:r>
        <w:rPr>
          <w:rFonts w:hint="eastAsia" w:ascii="宋体" w:hAnsi="宋体"/>
          <w:b/>
          <w:bCs/>
          <w:sz w:val="24"/>
        </w:rPr>
        <w:t>二、供应商资格要求</w:t>
      </w:r>
    </w:p>
    <w:p>
      <w:pPr>
        <w:numPr>
          <w:ilvl w:val="0"/>
          <w:numId w:val="1"/>
        </w:numPr>
        <w:adjustRightInd w:val="0"/>
        <w:snapToGrid w:val="0"/>
        <w:spacing w:line="276" w:lineRule="auto"/>
        <w:ind w:firstLine="480" w:firstLineChars="200"/>
        <w:jc w:val="left"/>
        <w:rPr>
          <w:rFonts w:ascii="Times New Roman" w:hAnsi="Times New Roman"/>
          <w:sz w:val="24"/>
        </w:rPr>
      </w:pPr>
      <w:r>
        <w:rPr>
          <w:rFonts w:hint="eastAsia" w:ascii="Times New Roman" w:hAnsi="Times New Roman"/>
          <w:sz w:val="24"/>
        </w:rPr>
        <w:t>必须满足《政府采购法》第二十二条规定的条件。</w:t>
      </w:r>
    </w:p>
    <w:p>
      <w:pPr>
        <w:numPr>
          <w:ilvl w:val="0"/>
          <w:numId w:val="1"/>
        </w:numPr>
        <w:adjustRightInd w:val="0"/>
        <w:snapToGrid w:val="0"/>
        <w:spacing w:line="276" w:lineRule="auto"/>
        <w:ind w:firstLine="480" w:firstLineChars="200"/>
        <w:jc w:val="left"/>
        <w:rPr>
          <w:rFonts w:ascii="Times New Roman" w:hAnsi="Times New Roman"/>
          <w:sz w:val="24"/>
        </w:rPr>
      </w:pPr>
      <w:r>
        <w:rPr>
          <w:rFonts w:hint="eastAsia" w:ascii="Times New Roman" w:hAnsi="Times New Roman"/>
          <w:sz w:val="24"/>
        </w:rPr>
        <w:t>必须在广东省政府采购智慧云平台完成政府采购代理机构注册登记手续（需提供广东省政府采购智慧云平台代理机构库查询结果网页截图）。</w:t>
      </w:r>
    </w:p>
    <w:p>
      <w:pPr>
        <w:numPr>
          <w:ilvl w:val="0"/>
          <w:numId w:val="1"/>
        </w:numPr>
        <w:adjustRightInd w:val="0"/>
        <w:snapToGrid w:val="0"/>
        <w:spacing w:line="276" w:lineRule="auto"/>
        <w:ind w:firstLine="480" w:firstLineChars="200"/>
        <w:jc w:val="left"/>
        <w:rPr>
          <w:rFonts w:ascii="宋体" w:hAnsi="宋体"/>
          <w:b/>
          <w:bCs/>
          <w:sz w:val="24"/>
        </w:rPr>
      </w:pPr>
      <w:r>
        <w:rPr>
          <w:rFonts w:hint="eastAsia" w:ascii="Times New Roman" w:hAnsi="Times New Roman"/>
          <w:sz w:val="24"/>
        </w:rPr>
        <w:t>本项目不接受联合体参与。</w:t>
      </w:r>
    </w:p>
    <w:p>
      <w:pPr>
        <w:adjustRightInd w:val="0"/>
        <w:snapToGrid w:val="0"/>
        <w:spacing w:line="276" w:lineRule="auto"/>
        <w:ind w:firstLine="482" w:firstLineChars="200"/>
        <w:jc w:val="left"/>
        <w:rPr>
          <w:rFonts w:ascii="宋体" w:hAnsi="宋体"/>
          <w:b/>
          <w:bCs/>
          <w:sz w:val="24"/>
        </w:rPr>
      </w:pPr>
      <w:r>
        <w:rPr>
          <w:rFonts w:hint="eastAsia" w:ascii="宋体" w:hAnsi="宋体"/>
          <w:b/>
          <w:bCs/>
          <w:sz w:val="24"/>
        </w:rPr>
        <w:t>三、服务内容</w:t>
      </w:r>
    </w:p>
    <w:p>
      <w:pPr>
        <w:adjustRightInd w:val="0"/>
        <w:snapToGrid w:val="0"/>
        <w:spacing w:line="276" w:lineRule="auto"/>
        <w:ind w:left="420" w:leftChars="200"/>
        <w:jc w:val="left"/>
        <w:rPr>
          <w:rFonts w:ascii="宋体" w:hAnsi="宋体"/>
          <w:sz w:val="24"/>
        </w:rPr>
      </w:pPr>
      <w:r>
        <w:rPr>
          <w:rFonts w:hint="eastAsia" w:ascii="宋体" w:hAnsi="宋体"/>
          <w:sz w:val="24"/>
        </w:rPr>
        <w:t>（一）项目要求</w:t>
      </w:r>
    </w:p>
    <w:p>
      <w:pPr>
        <w:pStyle w:val="10"/>
        <w:numPr>
          <w:ilvl w:val="0"/>
          <w:numId w:val="2"/>
        </w:numPr>
        <w:tabs>
          <w:tab w:val="left" w:pos="0"/>
        </w:tabs>
        <w:adjustRightInd w:val="0"/>
        <w:snapToGrid w:val="0"/>
        <w:spacing w:line="276" w:lineRule="auto"/>
        <w:ind w:firstLineChars="0"/>
        <w:jc w:val="left"/>
        <w:rPr>
          <w:sz w:val="24"/>
        </w:rPr>
      </w:pPr>
      <w:r>
        <w:rPr>
          <w:rFonts w:hint="eastAsia" w:ascii="宋体" w:hAnsi="宋体"/>
          <w:sz w:val="24"/>
        </w:rPr>
        <w:t>代理机构</w:t>
      </w:r>
      <w:r>
        <w:rPr>
          <w:rFonts w:hint="eastAsia"/>
          <w:sz w:val="24"/>
        </w:rPr>
        <w:t>应熟悉国家、广东省、佛山市、顺德区政府采购及相关管理部门制定的有关政策、法规。</w:t>
      </w:r>
    </w:p>
    <w:p>
      <w:pPr>
        <w:numPr>
          <w:ilvl w:val="0"/>
          <w:numId w:val="2"/>
        </w:numPr>
        <w:tabs>
          <w:tab w:val="left" w:pos="0"/>
        </w:tabs>
        <w:adjustRightInd w:val="0"/>
        <w:snapToGrid w:val="0"/>
        <w:spacing w:line="276" w:lineRule="auto"/>
        <w:jc w:val="left"/>
        <w:rPr>
          <w:rFonts w:ascii="宋体" w:hAnsi="宋体"/>
          <w:sz w:val="24"/>
        </w:rPr>
      </w:pPr>
      <w:r>
        <w:rPr>
          <w:rFonts w:hint="eastAsia" w:ascii="宋体" w:hAnsi="宋体"/>
          <w:sz w:val="24"/>
        </w:rPr>
        <w:t>代理机构应能够根据国家和广东省、政府采购的法规、政策、文件等有关规定，本着为采购人节约投资的原则，科学、客观、公正地开展采购代理工作；并按采购人的要求，按时按质提供咨询报告，对报告的真实性、准确性负责，并负有保密责任。</w:t>
      </w:r>
    </w:p>
    <w:p>
      <w:pPr>
        <w:numPr>
          <w:ilvl w:val="0"/>
          <w:numId w:val="2"/>
        </w:numPr>
        <w:tabs>
          <w:tab w:val="left" w:pos="0"/>
        </w:tabs>
        <w:adjustRightInd w:val="0"/>
        <w:snapToGrid w:val="0"/>
        <w:spacing w:line="276" w:lineRule="auto"/>
        <w:jc w:val="left"/>
        <w:rPr>
          <w:rFonts w:ascii="宋体" w:hAnsi="宋体"/>
          <w:sz w:val="24"/>
        </w:rPr>
      </w:pPr>
      <w:r>
        <w:rPr>
          <w:rFonts w:hint="eastAsia" w:ascii="宋体" w:hAnsi="宋体"/>
          <w:sz w:val="24"/>
        </w:rPr>
        <w:t>由于考虑服务便捷性要求，代理机构应在佛山市内设有固定并有合格专用的开标、评标场所。</w:t>
      </w:r>
    </w:p>
    <w:p>
      <w:pPr>
        <w:numPr>
          <w:ilvl w:val="0"/>
          <w:numId w:val="2"/>
        </w:numPr>
        <w:tabs>
          <w:tab w:val="left" w:pos="0"/>
        </w:tabs>
        <w:adjustRightInd w:val="0"/>
        <w:snapToGrid w:val="0"/>
        <w:spacing w:line="276" w:lineRule="auto"/>
        <w:jc w:val="left"/>
        <w:rPr>
          <w:rFonts w:ascii="宋体" w:hAnsi="宋体"/>
          <w:sz w:val="24"/>
        </w:rPr>
      </w:pPr>
      <w:r>
        <w:rPr>
          <w:rFonts w:hint="eastAsia" w:ascii="宋体" w:hAnsi="宋体"/>
          <w:sz w:val="24"/>
        </w:rPr>
        <w:t>在任何情况下，采购人不保证成交供应商在服务周期内所获取的业务量与业务收入。</w:t>
      </w:r>
    </w:p>
    <w:p>
      <w:pPr>
        <w:numPr>
          <w:ilvl w:val="0"/>
          <w:numId w:val="2"/>
        </w:numPr>
        <w:tabs>
          <w:tab w:val="left" w:pos="0"/>
        </w:tabs>
        <w:adjustRightInd w:val="0"/>
        <w:snapToGrid w:val="0"/>
        <w:spacing w:line="276" w:lineRule="auto"/>
        <w:jc w:val="left"/>
        <w:rPr>
          <w:rFonts w:ascii="宋体" w:hAnsi="宋体"/>
          <w:sz w:val="24"/>
        </w:rPr>
      </w:pPr>
      <w:r>
        <w:rPr>
          <w:rFonts w:hint="eastAsia" w:ascii="宋体" w:hAnsi="宋体"/>
          <w:sz w:val="24"/>
        </w:rPr>
        <w:t>成交供应商不按规定时间签定本项目合同，则视为放弃成交资格。</w:t>
      </w:r>
    </w:p>
    <w:p>
      <w:pPr>
        <w:adjustRightInd w:val="0"/>
        <w:snapToGrid w:val="0"/>
        <w:spacing w:line="276" w:lineRule="auto"/>
        <w:ind w:left="420" w:leftChars="200"/>
        <w:jc w:val="left"/>
        <w:rPr>
          <w:rFonts w:ascii="宋体" w:hAnsi="宋体"/>
          <w:sz w:val="24"/>
        </w:rPr>
      </w:pPr>
      <w:r>
        <w:rPr>
          <w:rFonts w:hint="eastAsia" w:ascii="宋体" w:hAnsi="宋体"/>
          <w:sz w:val="24"/>
        </w:rPr>
        <w:t>（二）服务要求</w:t>
      </w:r>
    </w:p>
    <w:p>
      <w:pPr>
        <w:numPr>
          <w:ilvl w:val="0"/>
          <w:numId w:val="3"/>
        </w:numPr>
        <w:tabs>
          <w:tab w:val="left" w:pos="0"/>
        </w:tabs>
        <w:adjustRightInd w:val="0"/>
        <w:snapToGrid w:val="0"/>
        <w:spacing w:line="276" w:lineRule="auto"/>
        <w:jc w:val="left"/>
        <w:rPr>
          <w:rFonts w:ascii="宋体" w:hAnsi="宋体"/>
          <w:sz w:val="24"/>
        </w:rPr>
      </w:pPr>
      <w:r>
        <w:rPr>
          <w:rFonts w:hint="eastAsia" w:ascii="宋体" w:hAnsi="宋体"/>
          <w:sz w:val="24"/>
        </w:rPr>
        <w:t>代理机构具有履行合同所必须的场所、设备和专业技术能力。</w:t>
      </w:r>
    </w:p>
    <w:p>
      <w:pPr>
        <w:numPr>
          <w:ilvl w:val="0"/>
          <w:numId w:val="3"/>
        </w:numPr>
        <w:tabs>
          <w:tab w:val="left" w:pos="0"/>
        </w:tabs>
        <w:adjustRightInd w:val="0"/>
        <w:snapToGrid w:val="0"/>
        <w:spacing w:line="276" w:lineRule="auto"/>
        <w:jc w:val="left"/>
        <w:rPr>
          <w:rFonts w:ascii="宋体" w:hAnsi="宋体"/>
          <w:sz w:val="24"/>
        </w:rPr>
      </w:pPr>
      <w:r>
        <w:rPr>
          <w:rFonts w:hint="eastAsia" w:ascii="宋体" w:hAnsi="宋体"/>
          <w:sz w:val="24"/>
        </w:rPr>
        <w:t>代理机构没有违法记录，信誉良好，行业内评价高(提供2019年1月1日至今行业获奖情况佐证材料)。</w:t>
      </w:r>
    </w:p>
    <w:p>
      <w:pPr>
        <w:numPr>
          <w:ilvl w:val="0"/>
          <w:numId w:val="3"/>
        </w:numPr>
        <w:tabs>
          <w:tab w:val="left" w:pos="0"/>
        </w:tabs>
        <w:adjustRightInd w:val="0"/>
        <w:snapToGrid w:val="0"/>
        <w:spacing w:line="276" w:lineRule="auto"/>
        <w:jc w:val="left"/>
        <w:rPr>
          <w:rFonts w:ascii="宋体" w:hAnsi="宋体"/>
          <w:sz w:val="24"/>
        </w:rPr>
      </w:pPr>
      <w:r>
        <w:rPr>
          <w:rFonts w:hint="eastAsia" w:ascii="宋体" w:hAnsi="宋体"/>
          <w:sz w:val="24"/>
        </w:rPr>
        <w:t>代理机构工作人员专业素质高，项目负责人须具有丰富采购业务经验，代理机构服务人员充足(提供拟派人员证书复印件及其在本公司工作年限证明和本公告时间前连续六个月的社保记录)。</w:t>
      </w:r>
    </w:p>
    <w:p>
      <w:pPr>
        <w:numPr>
          <w:ilvl w:val="0"/>
          <w:numId w:val="3"/>
        </w:numPr>
        <w:tabs>
          <w:tab w:val="left" w:pos="0"/>
        </w:tabs>
        <w:adjustRightInd w:val="0"/>
        <w:snapToGrid w:val="0"/>
        <w:spacing w:line="276" w:lineRule="auto"/>
        <w:jc w:val="left"/>
        <w:rPr>
          <w:rFonts w:ascii="宋体" w:hAnsi="宋体"/>
          <w:sz w:val="24"/>
        </w:rPr>
      </w:pPr>
      <w:r>
        <w:rPr>
          <w:rFonts w:hint="eastAsia" w:ascii="宋体" w:hAnsi="宋体"/>
          <w:sz w:val="24"/>
        </w:rPr>
        <w:t>具有丰富的从事医疗卫生领域的政府采购和招标代理的经验，，有经验丰富的法务团队，能及时合理处理招标采购质疑和投诉</w:t>
      </w:r>
      <w:r>
        <w:rPr>
          <w:rFonts w:hint="eastAsia" w:ascii="宋体" w:hAnsi="宋体"/>
          <w:spacing w:val="-2"/>
          <w:sz w:val="24"/>
        </w:rPr>
        <w:t>(提供2019年1月1日至今代理项目的投诉处理清单和当地财政部门出具的处理决定书)。</w:t>
      </w:r>
    </w:p>
    <w:p>
      <w:pPr>
        <w:numPr>
          <w:ilvl w:val="0"/>
          <w:numId w:val="3"/>
        </w:numPr>
        <w:tabs>
          <w:tab w:val="left" w:pos="0"/>
        </w:tabs>
        <w:adjustRightInd w:val="0"/>
        <w:snapToGrid w:val="0"/>
        <w:spacing w:line="276" w:lineRule="auto"/>
        <w:jc w:val="left"/>
        <w:rPr>
          <w:rFonts w:ascii="宋体" w:hAnsi="宋体"/>
          <w:sz w:val="24"/>
        </w:rPr>
      </w:pPr>
      <w:r>
        <w:rPr>
          <w:rFonts w:hint="eastAsia" w:ascii="宋体" w:hAnsi="宋体" w:cs="宋体"/>
          <w:sz w:val="24"/>
        </w:rPr>
        <w:t>▲</w:t>
      </w:r>
      <w:r>
        <w:rPr>
          <w:rFonts w:hint="eastAsia" w:ascii="宋体" w:hAnsi="宋体"/>
          <w:sz w:val="24"/>
        </w:rPr>
        <w:t>有涵盖医疗卫生领域的成熟的专家，专家应为医疗领域不同专业分类的主任专家或高级职称人员等，为采购人不同领域项目的需求参数提供技术咨询、进口论证、招标文件论证等工作，提供足够数量的称职专家。</w:t>
      </w:r>
    </w:p>
    <w:p>
      <w:pPr>
        <w:numPr>
          <w:ilvl w:val="0"/>
          <w:numId w:val="3"/>
        </w:numPr>
        <w:tabs>
          <w:tab w:val="left" w:pos="0"/>
        </w:tabs>
        <w:adjustRightInd w:val="0"/>
        <w:snapToGrid w:val="0"/>
        <w:spacing w:line="276" w:lineRule="auto"/>
        <w:jc w:val="left"/>
        <w:rPr>
          <w:rFonts w:ascii="宋体" w:hAnsi="宋体"/>
          <w:sz w:val="24"/>
        </w:rPr>
      </w:pPr>
      <w:r>
        <w:rPr>
          <w:rFonts w:hint="eastAsia" w:ascii="宋体" w:hAnsi="宋体"/>
          <w:sz w:val="24"/>
        </w:rPr>
        <w:t>代理机构应有健全的组织机构的内部管理制度，有完善的质量保证体系和技术经济档案管理制度，有良好的服务态度和较好的社会信誉。应提出保证项目审核质量和进度的措施。</w:t>
      </w:r>
    </w:p>
    <w:p>
      <w:pPr>
        <w:numPr>
          <w:ilvl w:val="0"/>
          <w:numId w:val="3"/>
        </w:numPr>
        <w:tabs>
          <w:tab w:val="left" w:pos="0"/>
        </w:tabs>
        <w:adjustRightInd w:val="0"/>
        <w:snapToGrid w:val="0"/>
        <w:spacing w:line="276" w:lineRule="auto"/>
        <w:jc w:val="left"/>
        <w:rPr>
          <w:rFonts w:ascii="宋体" w:hAnsi="宋体"/>
          <w:sz w:val="24"/>
        </w:rPr>
      </w:pPr>
      <w:r>
        <w:rPr>
          <w:rFonts w:hint="eastAsia" w:ascii="宋体" w:hAnsi="宋体" w:cs="宋体"/>
          <w:sz w:val="24"/>
        </w:rPr>
        <w:t>▲</w:t>
      </w:r>
      <w:r>
        <w:rPr>
          <w:rFonts w:hint="eastAsia" w:ascii="宋体" w:hAnsi="宋体"/>
          <w:sz w:val="24"/>
        </w:rPr>
        <w:t>在任何情况下，因代理机构的工作失误引起纠纷，需承担相应责任并视后果轻重给予包括但不局限于暂停委托、无条件解除协议等处罚。</w:t>
      </w:r>
    </w:p>
    <w:p>
      <w:pPr>
        <w:pStyle w:val="2"/>
        <w:spacing w:before="156"/>
        <w:ind w:firstLine="420" w:firstLineChars="175"/>
      </w:pPr>
      <w:r>
        <w:rPr>
          <w:rFonts w:hint="eastAsia" w:hAnsi="宋体" w:cs="宋体"/>
          <w:sz w:val="24"/>
          <w:szCs w:val="24"/>
        </w:rPr>
        <w:t>8.★代理机构需遵守诚实守信原则，一切以维护采购人利益为出发点，如采购人有违法相关法律法规的，应及时提出；如因没有执行相关政策规定，或擅自改变采购人需求而没有明确告知等，损害采购人利益的，依法追究其责任，并上报当地主管部门或监管部门。</w:t>
      </w:r>
    </w:p>
    <w:p>
      <w:pPr>
        <w:tabs>
          <w:tab w:val="left" w:pos="0"/>
        </w:tabs>
        <w:adjustRightInd w:val="0"/>
        <w:snapToGrid w:val="0"/>
        <w:spacing w:line="276" w:lineRule="auto"/>
        <w:ind w:firstLine="398" w:firstLineChars="166"/>
        <w:jc w:val="left"/>
        <w:rPr>
          <w:rFonts w:ascii="宋体" w:hAnsi="宋体"/>
          <w:sz w:val="24"/>
        </w:rPr>
      </w:pPr>
      <w:r>
        <w:rPr>
          <w:rFonts w:hint="eastAsia" w:ascii="宋体" w:hAnsi="宋体"/>
          <w:sz w:val="24"/>
        </w:rPr>
        <w:t>9.</w:t>
      </w:r>
      <w:r>
        <w:rPr>
          <w:rFonts w:hint="eastAsia" w:ascii="宋体" w:hAnsi="宋体" w:cs="宋体"/>
          <w:sz w:val="24"/>
        </w:rPr>
        <w:t>★</w:t>
      </w:r>
      <w:r>
        <w:rPr>
          <w:rFonts w:hint="eastAsia" w:ascii="宋体" w:hAnsi="宋体"/>
          <w:sz w:val="24"/>
        </w:rPr>
        <w:t>代理机构对招标文件等内容负有保密义务，不得将可能影响采购项目公正性和采购人利益的信息透漏给利害关系人，由此造成的影响由代理机构负全责，并取消资格，禁止代理医院任何招标采购项目，并依法追究其法律责任，</w:t>
      </w:r>
      <w:r>
        <w:rPr>
          <w:rFonts w:hint="eastAsia" w:hAnsi="宋体" w:cs="宋体"/>
          <w:sz w:val="24"/>
        </w:rPr>
        <w:t>上报当地主管部门或监管部门</w:t>
      </w:r>
      <w:r>
        <w:rPr>
          <w:rFonts w:hint="eastAsia" w:ascii="宋体" w:hAnsi="宋体"/>
          <w:sz w:val="24"/>
        </w:rPr>
        <w:t>。</w:t>
      </w:r>
    </w:p>
    <w:p>
      <w:pPr>
        <w:tabs>
          <w:tab w:val="left" w:pos="0"/>
        </w:tabs>
        <w:adjustRightInd w:val="0"/>
        <w:snapToGrid w:val="0"/>
        <w:spacing w:line="276" w:lineRule="auto"/>
        <w:ind w:firstLine="420" w:firstLineChars="175"/>
        <w:jc w:val="left"/>
        <w:rPr>
          <w:rFonts w:ascii="宋体" w:hAnsi="宋体"/>
          <w:sz w:val="24"/>
        </w:rPr>
      </w:pPr>
      <w:r>
        <w:rPr>
          <w:rFonts w:hint="eastAsia" w:ascii="宋体" w:hAnsi="宋体"/>
          <w:sz w:val="24"/>
        </w:rPr>
        <w:t>10.代理机构须提供常设每周7天×24小时服务专线和长期的免费技术支持。为用户提供关于政府采购流程及相关法规的培训。</w:t>
      </w:r>
    </w:p>
    <w:p>
      <w:pPr>
        <w:tabs>
          <w:tab w:val="left" w:pos="0"/>
          <w:tab w:val="left" w:pos="750"/>
        </w:tabs>
        <w:adjustRightInd w:val="0"/>
        <w:snapToGrid w:val="0"/>
        <w:spacing w:line="276" w:lineRule="auto"/>
        <w:ind w:firstLine="420" w:firstLineChars="175"/>
        <w:jc w:val="left"/>
      </w:pPr>
      <w:r>
        <w:rPr>
          <w:rFonts w:hint="eastAsia" w:ascii="宋体" w:hAnsi="宋体"/>
          <w:sz w:val="24"/>
        </w:rPr>
        <w:t>11.</w:t>
      </w:r>
      <w:r>
        <w:rPr>
          <w:rFonts w:hint="eastAsia" w:ascii="仿宋" w:hAnsi="仿宋" w:eastAsia="仿宋" w:cs="仿宋"/>
          <w:sz w:val="24"/>
        </w:rPr>
        <w:t>▲</w:t>
      </w:r>
      <w:r>
        <w:rPr>
          <w:rFonts w:hint="eastAsia" w:ascii="宋体" w:hAnsi="宋体"/>
          <w:sz w:val="24"/>
        </w:rPr>
        <w:t>代理机构应有预判项目风险的能力，及时提醒采购人可能存在的风险点和应对措施。</w:t>
      </w:r>
    </w:p>
    <w:p>
      <w:pPr>
        <w:pStyle w:val="2"/>
        <w:adjustRightInd w:val="0"/>
        <w:snapToGrid w:val="0"/>
        <w:spacing w:before="156" w:line="276" w:lineRule="auto"/>
        <w:ind w:firstLine="480"/>
        <w:rPr>
          <w:rFonts w:hAnsi="宋体"/>
          <w:sz w:val="24"/>
          <w:szCs w:val="24"/>
        </w:rPr>
      </w:pPr>
      <w:r>
        <w:rPr>
          <w:rFonts w:hint="eastAsia" w:hAnsi="宋体"/>
          <w:sz w:val="24"/>
          <w:szCs w:val="24"/>
        </w:rPr>
        <w:t>（三）服务内容</w:t>
      </w:r>
    </w:p>
    <w:p>
      <w:pPr>
        <w:numPr>
          <w:ilvl w:val="0"/>
          <w:numId w:val="4"/>
        </w:numPr>
        <w:adjustRightInd w:val="0"/>
        <w:snapToGrid w:val="0"/>
        <w:spacing w:line="276" w:lineRule="auto"/>
        <w:rPr>
          <w:rFonts w:ascii="宋体" w:hAnsi="宋体"/>
          <w:sz w:val="24"/>
        </w:rPr>
      </w:pPr>
      <w:r>
        <w:rPr>
          <w:rFonts w:hint="eastAsia" w:ascii="宋体" w:hAnsi="宋体"/>
          <w:sz w:val="24"/>
        </w:rPr>
        <w:t>根据实际采购项目签订项目委托协议，委托服务内容包括但不限于：招标文件的编制、招标信息发布、组织资格审查、组织现场勘察和答疑会、组织开标评标、抽取评标专家并支付费用、发出中标通知书、受理质疑、协助处理投诉、合同鉴证、资料整理、协助合同备案等，如招标人有需要，须协助采购人起草政府采购合同及相关咨询等。</w:t>
      </w:r>
    </w:p>
    <w:p>
      <w:pPr>
        <w:numPr>
          <w:ilvl w:val="0"/>
          <w:numId w:val="4"/>
        </w:numPr>
        <w:tabs>
          <w:tab w:val="left" w:pos="0"/>
        </w:tabs>
        <w:adjustRightInd w:val="0"/>
        <w:snapToGrid w:val="0"/>
        <w:spacing w:line="276" w:lineRule="auto"/>
        <w:jc w:val="left"/>
        <w:rPr>
          <w:rFonts w:ascii="宋体" w:hAnsi="宋体"/>
          <w:sz w:val="24"/>
        </w:rPr>
      </w:pPr>
      <w:r>
        <w:rPr>
          <w:rFonts w:hint="eastAsia" w:ascii="宋体" w:hAnsi="宋体"/>
          <w:sz w:val="24"/>
        </w:rPr>
        <w:t>与项目招标采购相关的各项服务工作，包括能够为采购人提供招标采购流程中关于法规、行业技术等咨询服务；根据相关要求代理采购人公示相关信息。</w:t>
      </w:r>
    </w:p>
    <w:p>
      <w:pPr>
        <w:numPr>
          <w:ilvl w:val="0"/>
          <w:numId w:val="4"/>
        </w:numPr>
        <w:tabs>
          <w:tab w:val="left" w:pos="0"/>
        </w:tabs>
        <w:adjustRightInd w:val="0"/>
        <w:snapToGrid w:val="0"/>
        <w:spacing w:line="276" w:lineRule="auto"/>
        <w:jc w:val="left"/>
        <w:rPr>
          <w:rFonts w:ascii="宋体" w:hAnsi="宋体"/>
          <w:sz w:val="24"/>
        </w:rPr>
      </w:pPr>
      <w:r>
        <w:rPr>
          <w:rFonts w:hint="eastAsia" w:ascii="宋体" w:hAnsi="宋体"/>
          <w:sz w:val="24"/>
        </w:rPr>
        <w:t>依法编制招标项目的招标公告（资格预审文件）、招标文件、草拟合同文本样本及其它与招标有关的过程文件。</w:t>
      </w:r>
    </w:p>
    <w:p>
      <w:pPr>
        <w:numPr>
          <w:ilvl w:val="0"/>
          <w:numId w:val="4"/>
        </w:numPr>
        <w:tabs>
          <w:tab w:val="left" w:pos="0"/>
        </w:tabs>
        <w:adjustRightInd w:val="0"/>
        <w:snapToGrid w:val="0"/>
        <w:spacing w:line="276" w:lineRule="auto"/>
        <w:jc w:val="left"/>
        <w:rPr>
          <w:rFonts w:ascii="宋体" w:hAnsi="宋体"/>
          <w:sz w:val="24"/>
        </w:rPr>
      </w:pPr>
      <w:r>
        <w:rPr>
          <w:rFonts w:hint="eastAsia" w:ascii="宋体" w:hAnsi="宋体"/>
          <w:sz w:val="24"/>
        </w:rPr>
        <w:t>根据采购人实际委托的项目依法组织实施招标过程，办理各项手续。</w:t>
      </w:r>
    </w:p>
    <w:p>
      <w:pPr>
        <w:numPr>
          <w:ilvl w:val="0"/>
          <w:numId w:val="4"/>
        </w:numPr>
        <w:tabs>
          <w:tab w:val="left" w:pos="0"/>
        </w:tabs>
        <w:adjustRightInd w:val="0"/>
        <w:snapToGrid w:val="0"/>
        <w:spacing w:line="276" w:lineRule="auto"/>
        <w:jc w:val="left"/>
        <w:rPr>
          <w:rFonts w:ascii="宋体" w:hAnsi="宋体"/>
          <w:sz w:val="24"/>
        </w:rPr>
      </w:pPr>
      <w:r>
        <w:rPr>
          <w:rFonts w:hint="eastAsia" w:ascii="宋体" w:hAnsi="宋体"/>
          <w:sz w:val="24"/>
        </w:rPr>
        <w:t>承担招标工作所产生的所有费用（包括评标场地使用费、专家评审、进口产品论证、配置技术论证、招标文件论证等费用，专家及采购方人员在非常驻场所开标所发生的交通、食宿等费用，以及处理质疑投诉等费用。</w:t>
      </w:r>
    </w:p>
    <w:p>
      <w:pPr>
        <w:numPr>
          <w:ilvl w:val="0"/>
          <w:numId w:val="4"/>
        </w:numPr>
        <w:tabs>
          <w:tab w:val="left" w:pos="0"/>
        </w:tabs>
        <w:adjustRightInd w:val="0"/>
        <w:snapToGrid w:val="0"/>
        <w:spacing w:line="276" w:lineRule="auto"/>
        <w:jc w:val="left"/>
        <w:rPr>
          <w:rFonts w:ascii="宋体" w:hAnsi="宋体"/>
          <w:sz w:val="24"/>
        </w:rPr>
      </w:pPr>
      <w:r>
        <w:rPr>
          <w:rFonts w:hint="eastAsia" w:ascii="宋体" w:hAnsi="宋体"/>
          <w:sz w:val="24"/>
        </w:rPr>
        <w:t>委派监督代表对项目的开标评标现场进行监督，严格按照国家有关的法律、政策和招标文件的规定，坚持公正的立场，对招标投标活动进行监督。</w:t>
      </w:r>
    </w:p>
    <w:p>
      <w:pPr>
        <w:numPr>
          <w:ilvl w:val="0"/>
          <w:numId w:val="4"/>
        </w:numPr>
        <w:tabs>
          <w:tab w:val="left" w:pos="0"/>
        </w:tabs>
        <w:adjustRightInd w:val="0"/>
        <w:snapToGrid w:val="0"/>
        <w:spacing w:line="276" w:lineRule="auto"/>
        <w:jc w:val="left"/>
        <w:rPr>
          <w:rFonts w:ascii="宋体" w:hAnsi="宋体"/>
          <w:sz w:val="24"/>
        </w:rPr>
      </w:pPr>
      <w:r>
        <w:rPr>
          <w:rFonts w:hint="eastAsia" w:ascii="宋体" w:hAnsi="宋体"/>
          <w:sz w:val="24"/>
        </w:rPr>
        <w:t>招标完成后项目资料档案的整理、归案移交（除移交一套完整齐全的招标归档资料给采购人存档用于政府有关部门随时检查外，必要时还需移交1套招标文件、成交供应商投标文件、评标报告给采购人用于采购人内部相关部门办理合同签订及内部审核）。</w:t>
      </w:r>
    </w:p>
    <w:p>
      <w:pPr>
        <w:numPr>
          <w:ilvl w:val="0"/>
          <w:numId w:val="4"/>
        </w:numPr>
        <w:tabs>
          <w:tab w:val="left" w:pos="0"/>
        </w:tabs>
        <w:adjustRightInd w:val="0"/>
        <w:snapToGrid w:val="0"/>
        <w:spacing w:line="276" w:lineRule="auto"/>
        <w:jc w:val="left"/>
        <w:rPr>
          <w:rFonts w:ascii="宋体" w:hAnsi="宋体"/>
          <w:sz w:val="24"/>
        </w:rPr>
      </w:pPr>
      <w:r>
        <w:rPr>
          <w:rFonts w:hint="eastAsia" w:ascii="宋体" w:hAnsi="宋体"/>
          <w:sz w:val="24"/>
        </w:rPr>
        <w:t>各项目服务期：确定采购代理机构之日起，至所有招标采购项目的中标通知书发出及依法办理完成各项招标、中标手续并将各项资料完整地移交给采购人，且各方按协议完成保证金和手续费的应付、应收、应退的各项事宜为止。（如有特殊情况采购人取消采购任务或提出终止委托的除外）。</w:t>
      </w:r>
    </w:p>
    <w:p>
      <w:pPr>
        <w:numPr>
          <w:ilvl w:val="0"/>
          <w:numId w:val="4"/>
        </w:numPr>
        <w:tabs>
          <w:tab w:val="left" w:pos="0"/>
        </w:tabs>
        <w:adjustRightInd w:val="0"/>
        <w:snapToGrid w:val="0"/>
        <w:spacing w:line="276" w:lineRule="auto"/>
        <w:jc w:val="left"/>
        <w:rPr>
          <w:rFonts w:ascii="宋体" w:hAnsi="宋体"/>
          <w:sz w:val="24"/>
        </w:rPr>
      </w:pPr>
      <w:r>
        <w:rPr>
          <w:rFonts w:hint="eastAsia" w:ascii="宋体" w:hAnsi="宋体"/>
          <w:sz w:val="24"/>
        </w:rPr>
        <w:t>当政府主管部门进行相关检查工作，协助院方提供相关招标资料，要求代理机构企业具有固定的较大规模面积的资料存放管理库，保证资料长期保管、及时供应(提供资料库地址、存放档案资料的档案库现场图片)。</w:t>
      </w:r>
    </w:p>
    <w:p>
      <w:pPr>
        <w:numPr>
          <w:ilvl w:val="0"/>
          <w:numId w:val="4"/>
        </w:numPr>
        <w:adjustRightInd w:val="0"/>
        <w:snapToGrid w:val="0"/>
        <w:spacing w:line="276" w:lineRule="auto"/>
        <w:jc w:val="left"/>
        <w:rPr>
          <w:rFonts w:ascii="宋体" w:hAnsi="宋体"/>
          <w:sz w:val="24"/>
        </w:rPr>
      </w:pPr>
      <w:r>
        <w:rPr>
          <w:rFonts w:hint="eastAsia" w:ascii="宋体" w:hAnsi="宋体"/>
          <w:sz w:val="24"/>
        </w:rPr>
        <w:t>工作时效要求：</w:t>
      </w:r>
    </w:p>
    <w:p>
      <w:pPr>
        <w:tabs>
          <w:tab w:val="left" w:pos="0"/>
        </w:tabs>
        <w:adjustRightInd w:val="0"/>
        <w:snapToGrid w:val="0"/>
        <w:spacing w:line="276" w:lineRule="auto"/>
        <w:ind w:firstLine="480" w:firstLineChars="200"/>
        <w:jc w:val="left"/>
        <w:rPr>
          <w:rFonts w:ascii="宋体" w:hAnsi="宋体"/>
          <w:sz w:val="24"/>
        </w:rPr>
      </w:pPr>
      <w:r>
        <w:rPr>
          <w:rFonts w:hint="eastAsia" w:ascii="宋体" w:hAnsi="宋体" w:cs="宋体"/>
          <w:sz w:val="24"/>
        </w:rPr>
        <w:t>①</w:t>
      </w:r>
      <w:r>
        <w:rPr>
          <w:rFonts w:hint="eastAsia" w:ascii="宋体" w:hAnsi="宋体"/>
          <w:sz w:val="24"/>
        </w:rPr>
        <w:t>审核采购人招标需求，如需修改补充在1个工作日内提出，接到采购人招标委托及招标需求后2个工作日内完成电子版招标文件初稿制作发给采购人审核确认，收到采购人确认的电子版招标文件后1个工作日提交纸质版招标文件送审稿。</w:t>
      </w:r>
    </w:p>
    <w:p>
      <w:pPr>
        <w:tabs>
          <w:tab w:val="left" w:pos="0"/>
        </w:tabs>
        <w:adjustRightInd w:val="0"/>
        <w:snapToGrid w:val="0"/>
        <w:spacing w:line="276" w:lineRule="auto"/>
        <w:ind w:firstLine="480" w:firstLineChars="200"/>
        <w:jc w:val="left"/>
        <w:rPr>
          <w:rFonts w:ascii="宋体" w:hAnsi="宋体"/>
          <w:sz w:val="24"/>
        </w:rPr>
      </w:pPr>
      <w:r>
        <w:rPr>
          <w:rFonts w:hint="eastAsia" w:ascii="宋体" w:hAnsi="宋体" w:cs="宋体"/>
          <w:sz w:val="24"/>
        </w:rPr>
        <w:t>②</w:t>
      </w:r>
      <w:r>
        <w:rPr>
          <w:rFonts w:hint="eastAsia" w:ascii="宋体" w:hAnsi="宋体"/>
          <w:sz w:val="24"/>
        </w:rPr>
        <w:t>收到采购人意见后1个工作日完成修改并办理招标文件定稿，提交纸质版定稿招标文件给采购人确认。</w:t>
      </w:r>
    </w:p>
    <w:p>
      <w:pPr>
        <w:tabs>
          <w:tab w:val="left" w:pos="0"/>
        </w:tabs>
        <w:adjustRightInd w:val="0"/>
        <w:snapToGrid w:val="0"/>
        <w:spacing w:line="276" w:lineRule="auto"/>
        <w:ind w:firstLine="480" w:firstLineChars="200"/>
        <w:jc w:val="left"/>
        <w:rPr>
          <w:rFonts w:ascii="宋体" w:hAnsi="宋体"/>
          <w:sz w:val="24"/>
        </w:rPr>
      </w:pPr>
      <w:r>
        <w:rPr>
          <w:rFonts w:hint="eastAsia" w:ascii="宋体" w:hAnsi="宋体" w:cs="宋体"/>
          <w:sz w:val="24"/>
        </w:rPr>
        <w:t>③</w:t>
      </w:r>
      <w:r>
        <w:rPr>
          <w:rFonts w:hint="eastAsia" w:ascii="宋体" w:hAnsi="宋体"/>
          <w:sz w:val="24"/>
        </w:rPr>
        <w:t>收到采购人招标文件确认函（表）后，1个工作日内按规定发布招标公告并发售招标文件。（特殊情况另定）</w:t>
      </w:r>
    </w:p>
    <w:p>
      <w:pPr>
        <w:tabs>
          <w:tab w:val="left" w:pos="0"/>
        </w:tabs>
        <w:adjustRightInd w:val="0"/>
        <w:snapToGrid w:val="0"/>
        <w:spacing w:line="276" w:lineRule="auto"/>
        <w:ind w:firstLine="480" w:firstLineChars="200"/>
        <w:jc w:val="left"/>
        <w:rPr>
          <w:rFonts w:ascii="宋体" w:hAnsi="宋体"/>
          <w:sz w:val="24"/>
        </w:rPr>
      </w:pPr>
      <w:r>
        <w:rPr>
          <w:rFonts w:hint="eastAsia" w:ascii="宋体" w:hAnsi="宋体" w:cs="宋体"/>
          <w:sz w:val="24"/>
        </w:rPr>
        <w:t>④</w:t>
      </w:r>
      <w:r>
        <w:rPr>
          <w:rFonts w:hint="eastAsia" w:ascii="宋体" w:hAnsi="宋体"/>
          <w:sz w:val="24"/>
        </w:rPr>
        <w:t>开标时间2个工作日前，发出参加开标会的开标邀请函给用户，以便提醒院方安排相关人员到场参加。</w:t>
      </w:r>
    </w:p>
    <w:p>
      <w:pPr>
        <w:tabs>
          <w:tab w:val="left" w:pos="0"/>
        </w:tabs>
        <w:adjustRightInd w:val="0"/>
        <w:snapToGrid w:val="0"/>
        <w:spacing w:line="276" w:lineRule="auto"/>
        <w:ind w:firstLine="480" w:firstLineChars="200"/>
        <w:jc w:val="left"/>
        <w:rPr>
          <w:rFonts w:ascii="宋体" w:hAnsi="宋体"/>
          <w:sz w:val="24"/>
        </w:rPr>
      </w:pPr>
      <w:r>
        <w:rPr>
          <w:rFonts w:hint="eastAsia" w:ascii="宋体" w:hAnsi="宋体" w:cs="宋体"/>
          <w:sz w:val="24"/>
        </w:rPr>
        <w:t>⑤</w:t>
      </w:r>
      <w:r>
        <w:rPr>
          <w:rFonts w:hint="eastAsia" w:ascii="宋体" w:hAnsi="宋体"/>
          <w:sz w:val="24"/>
        </w:rPr>
        <w:t>开标结束后应当即将投标文件副本各1份交采购人；在1个工作日内将评审结果和评分细项交采购人确认；收到采购人的中标结果确认后，1个工作日内按规定发布中标公示或公告。</w:t>
      </w:r>
    </w:p>
    <w:p>
      <w:pPr>
        <w:tabs>
          <w:tab w:val="left" w:pos="0"/>
        </w:tabs>
        <w:adjustRightInd w:val="0"/>
        <w:snapToGrid w:val="0"/>
        <w:spacing w:line="276" w:lineRule="auto"/>
        <w:ind w:firstLine="420" w:firstLineChars="175"/>
        <w:jc w:val="left"/>
        <w:rPr>
          <w:rFonts w:ascii="宋体" w:hAnsi="宋体"/>
          <w:sz w:val="24"/>
        </w:rPr>
      </w:pPr>
      <w:r>
        <w:rPr>
          <w:rFonts w:hint="eastAsia" w:ascii="宋体" w:hAnsi="宋体" w:cs="宋体"/>
          <w:sz w:val="24"/>
        </w:rPr>
        <w:t>⑥</w:t>
      </w:r>
      <w:r>
        <w:rPr>
          <w:rFonts w:hint="eastAsia" w:ascii="宋体" w:hAnsi="宋体"/>
          <w:sz w:val="24"/>
        </w:rPr>
        <w:t>招标过程中所有的文字资料（含电子资料）、视频资料都是档案资料的组成部分，在项目完成后都必须整理归档并装订成册，招标文件及投标文件另立册。全套完整齐全的招标档案须用装订成册，并打印卷内目录，在中标通知书发出后7个工作日内移交。</w:t>
      </w:r>
    </w:p>
    <w:p>
      <w:pPr>
        <w:tabs>
          <w:tab w:val="left" w:pos="0"/>
        </w:tabs>
        <w:adjustRightInd w:val="0"/>
        <w:snapToGrid w:val="0"/>
        <w:spacing w:line="276" w:lineRule="auto"/>
        <w:ind w:firstLine="420" w:firstLineChars="175"/>
        <w:jc w:val="left"/>
        <w:rPr>
          <w:rFonts w:ascii="宋体" w:hAnsi="宋体"/>
          <w:sz w:val="24"/>
        </w:rPr>
      </w:pPr>
      <w:r>
        <w:rPr>
          <w:rFonts w:hint="eastAsia" w:ascii="宋体" w:hAnsi="宋体"/>
          <w:sz w:val="24"/>
        </w:rPr>
        <w:t>⑧成交供应商必须在接到质疑或投诉后24小时内作出回应，征询采购人意见并负责起草有关质疑或投诉的回复意见。</w:t>
      </w:r>
    </w:p>
    <w:p>
      <w:pPr>
        <w:tabs>
          <w:tab w:val="left" w:pos="0"/>
        </w:tabs>
        <w:adjustRightInd w:val="0"/>
        <w:snapToGrid w:val="0"/>
        <w:spacing w:line="276" w:lineRule="auto"/>
        <w:ind w:left="420" w:leftChars="200"/>
        <w:jc w:val="left"/>
      </w:pPr>
      <w:r>
        <w:rPr>
          <w:rFonts w:hint="eastAsia" w:ascii="宋体" w:hAnsi="宋体"/>
          <w:sz w:val="24"/>
        </w:rPr>
        <w:t>⑨服务响应时间：接到用户通知如有需要4小时内到达现场。</w:t>
      </w:r>
    </w:p>
    <w:p>
      <w:pPr>
        <w:pStyle w:val="2"/>
        <w:adjustRightInd w:val="0"/>
        <w:snapToGrid w:val="0"/>
        <w:spacing w:before="156" w:line="276" w:lineRule="auto"/>
        <w:ind w:firstLine="480"/>
        <w:rPr>
          <w:rFonts w:hAnsi="宋体"/>
          <w:sz w:val="24"/>
          <w:szCs w:val="24"/>
        </w:rPr>
      </w:pPr>
      <w:r>
        <w:rPr>
          <w:rFonts w:hint="eastAsia" w:hAnsi="宋体"/>
          <w:sz w:val="24"/>
          <w:szCs w:val="24"/>
        </w:rPr>
        <w:t>（四）其他要求</w:t>
      </w:r>
    </w:p>
    <w:p>
      <w:pPr>
        <w:numPr>
          <w:ilvl w:val="0"/>
          <w:numId w:val="5"/>
        </w:numPr>
        <w:tabs>
          <w:tab w:val="left" w:pos="0"/>
        </w:tabs>
        <w:adjustRightInd w:val="0"/>
        <w:snapToGrid w:val="0"/>
        <w:spacing w:line="276" w:lineRule="auto"/>
        <w:jc w:val="left"/>
        <w:rPr>
          <w:rFonts w:ascii="宋体" w:hAnsi="宋体"/>
          <w:sz w:val="24"/>
        </w:rPr>
      </w:pPr>
      <w:r>
        <w:rPr>
          <w:rFonts w:hint="eastAsia" w:ascii="宋体" w:hAnsi="宋体"/>
          <w:sz w:val="24"/>
        </w:rPr>
        <w:t>接受采购人以任何形式对投标文件内容及采购人认为有必要的相关资料的真实性和有效性进行审查、验证。</w:t>
      </w:r>
    </w:p>
    <w:p>
      <w:pPr>
        <w:pStyle w:val="2"/>
        <w:numPr>
          <w:ilvl w:val="0"/>
          <w:numId w:val="5"/>
        </w:numPr>
        <w:adjustRightInd w:val="0"/>
        <w:snapToGrid w:val="0"/>
        <w:spacing w:before="156" w:line="276" w:lineRule="auto"/>
        <w:ind w:firstLineChars="0"/>
        <w:rPr>
          <w:rFonts w:hAnsi="宋体"/>
          <w:sz w:val="24"/>
          <w:szCs w:val="24"/>
        </w:rPr>
      </w:pPr>
      <w:r>
        <w:rPr>
          <w:rFonts w:hint="eastAsia" w:hAnsi="宋体"/>
          <w:sz w:val="24"/>
          <w:szCs w:val="24"/>
        </w:rPr>
        <w:t>代理机构根据不同的采购项目，向采购人提供采购策略和合同条款以供参考，并制定相应的采购日程计划表，代理机构须按采购日程计划表完成相关代理工作。</w:t>
      </w:r>
    </w:p>
    <w:p>
      <w:pPr>
        <w:pStyle w:val="6"/>
        <w:widowControl/>
        <w:numPr>
          <w:ilvl w:val="0"/>
          <w:numId w:val="5"/>
        </w:numPr>
        <w:adjustRightInd w:val="0"/>
        <w:snapToGrid w:val="0"/>
        <w:spacing w:line="276" w:lineRule="auto"/>
        <w:ind w:right="300"/>
        <w:rPr>
          <w:rFonts w:ascii="宋体" w:hAnsi="宋体"/>
          <w:kern w:val="2"/>
        </w:rPr>
      </w:pPr>
      <w:r>
        <w:rPr>
          <w:rFonts w:hint="eastAsia" w:ascii="宋体" w:hAnsi="宋体"/>
          <w:kern w:val="2"/>
        </w:rPr>
        <w:t>对采购人的其他预约服务应按其要求准时派员到达现场。</w:t>
      </w:r>
    </w:p>
    <w:p>
      <w:pPr>
        <w:pStyle w:val="6"/>
        <w:widowControl/>
        <w:numPr>
          <w:ilvl w:val="0"/>
          <w:numId w:val="5"/>
        </w:numPr>
        <w:adjustRightInd w:val="0"/>
        <w:snapToGrid w:val="0"/>
        <w:spacing w:line="276" w:lineRule="auto"/>
        <w:ind w:right="300"/>
        <w:rPr>
          <w:rFonts w:ascii="宋体" w:hAnsi="宋体"/>
          <w:kern w:val="2"/>
        </w:rPr>
      </w:pPr>
      <w:r>
        <w:rPr>
          <w:rFonts w:hint="eastAsia" w:ascii="宋体" w:hAnsi="宋体"/>
          <w:kern w:val="2"/>
        </w:rPr>
        <w:t>代理机构须遵守相关管理规定，接受采购人的满意度评价或考核，无条件接受采购人及其纪检监察、审计和其他行政主管部门监督。</w:t>
      </w:r>
    </w:p>
    <w:p>
      <w:pPr>
        <w:pStyle w:val="6"/>
        <w:widowControl/>
        <w:numPr>
          <w:ilvl w:val="0"/>
          <w:numId w:val="5"/>
        </w:numPr>
        <w:adjustRightInd w:val="0"/>
        <w:snapToGrid w:val="0"/>
        <w:spacing w:line="276" w:lineRule="auto"/>
        <w:ind w:right="300"/>
        <w:rPr>
          <w:rFonts w:ascii="宋体" w:hAnsi="宋体"/>
          <w:kern w:val="2"/>
        </w:rPr>
      </w:pPr>
      <w:r>
        <w:rPr>
          <w:rFonts w:hint="eastAsia" w:ascii="宋体" w:hAnsi="宋体"/>
          <w:kern w:val="2"/>
        </w:rPr>
        <w:t>代理机构须按业务委托书约定的内容和时间完成工作。</w:t>
      </w:r>
    </w:p>
    <w:p>
      <w:pPr>
        <w:pStyle w:val="6"/>
        <w:widowControl/>
        <w:numPr>
          <w:ilvl w:val="0"/>
          <w:numId w:val="5"/>
        </w:numPr>
        <w:adjustRightInd w:val="0"/>
        <w:snapToGrid w:val="0"/>
        <w:spacing w:line="276" w:lineRule="auto"/>
        <w:ind w:right="300"/>
        <w:rPr>
          <w:rFonts w:ascii="宋体" w:hAnsi="宋体"/>
          <w:b/>
          <w:bCs/>
          <w:kern w:val="2"/>
        </w:rPr>
      </w:pPr>
      <w:r>
        <w:rPr>
          <w:rFonts w:hint="eastAsia" w:ascii="宋体" w:hAnsi="宋体"/>
          <w:kern w:val="2"/>
        </w:rPr>
        <w:t>任意阶段，采购人有权核实所供资料的真实性，必要时查看原件，如不能或拒绝提供视为弃标或违约行为。</w:t>
      </w:r>
    </w:p>
    <w:p>
      <w:pPr>
        <w:pStyle w:val="6"/>
        <w:widowControl/>
        <w:adjustRightInd w:val="0"/>
        <w:snapToGrid w:val="0"/>
        <w:spacing w:line="276" w:lineRule="auto"/>
        <w:ind w:left="542" w:leftChars="258" w:right="300"/>
        <w:rPr>
          <w:rFonts w:ascii="宋体" w:hAnsi="宋体"/>
          <w:b/>
          <w:bCs/>
          <w:kern w:val="2"/>
        </w:rPr>
      </w:pPr>
      <w:r>
        <w:rPr>
          <w:rFonts w:hint="eastAsia" w:ascii="宋体" w:hAnsi="宋体"/>
          <w:b/>
          <w:bCs/>
          <w:kern w:val="2"/>
        </w:rPr>
        <w:t>四、合同终止与延续</w:t>
      </w:r>
    </w:p>
    <w:p>
      <w:pPr>
        <w:tabs>
          <w:tab w:val="left" w:pos="0"/>
        </w:tabs>
        <w:adjustRightInd w:val="0"/>
        <w:snapToGrid w:val="0"/>
        <w:spacing w:line="276" w:lineRule="auto"/>
        <w:ind w:left="420" w:leftChars="200"/>
        <w:jc w:val="left"/>
        <w:rPr>
          <w:rFonts w:ascii="宋体" w:hAnsi="宋体"/>
          <w:sz w:val="24"/>
        </w:rPr>
      </w:pPr>
      <w:r>
        <w:rPr>
          <w:rFonts w:hint="eastAsia" w:ascii="宋体" w:hAnsi="宋体"/>
          <w:sz w:val="24"/>
        </w:rPr>
        <w:t>（一）出现下列情形之一的，本项目合同终止：</w:t>
      </w:r>
    </w:p>
    <w:p>
      <w:pPr>
        <w:numPr>
          <w:ilvl w:val="0"/>
          <w:numId w:val="6"/>
        </w:numPr>
        <w:tabs>
          <w:tab w:val="left" w:pos="425"/>
        </w:tabs>
        <w:adjustRightInd w:val="0"/>
        <w:snapToGrid w:val="0"/>
        <w:spacing w:line="276" w:lineRule="auto"/>
        <w:jc w:val="left"/>
        <w:rPr>
          <w:rFonts w:ascii="宋体" w:hAnsi="宋体"/>
          <w:sz w:val="24"/>
        </w:rPr>
      </w:pPr>
      <w:r>
        <w:rPr>
          <w:rFonts w:hint="eastAsia" w:ascii="宋体" w:hAnsi="宋体"/>
          <w:sz w:val="24"/>
        </w:rPr>
        <w:t>本合同约定的服务期届满；</w:t>
      </w:r>
    </w:p>
    <w:p>
      <w:pPr>
        <w:numPr>
          <w:ilvl w:val="0"/>
          <w:numId w:val="6"/>
        </w:numPr>
        <w:tabs>
          <w:tab w:val="left" w:pos="425"/>
        </w:tabs>
        <w:adjustRightInd w:val="0"/>
        <w:snapToGrid w:val="0"/>
        <w:spacing w:line="276" w:lineRule="auto"/>
        <w:jc w:val="left"/>
        <w:rPr>
          <w:rFonts w:ascii="宋体" w:hAnsi="宋体"/>
          <w:sz w:val="24"/>
        </w:rPr>
      </w:pPr>
      <w:r>
        <w:rPr>
          <w:rFonts w:hint="eastAsia" w:ascii="宋体" w:hAnsi="宋体"/>
          <w:sz w:val="24"/>
        </w:rPr>
        <w:t>在本合同服务期内，因不可抗力的情形导致本合同无法继续履行的，而由此导致毁损并造成的损失采购人、成交供应商双方互不承担责任；</w:t>
      </w:r>
    </w:p>
    <w:p>
      <w:pPr>
        <w:numPr>
          <w:ilvl w:val="0"/>
          <w:numId w:val="6"/>
        </w:numPr>
        <w:tabs>
          <w:tab w:val="left" w:pos="425"/>
        </w:tabs>
        <w:adjustRightInd w:val="0"/>
        <w:snapToGrid w:val="0"/>
        <w:spacing w:line="276" w:lineRule="auto"/>
        <w:jc w:val="left"/>
        <w:rPr>
          <w:rFonts w:ascii="宋体" w:hAnsi="宋体"/>
          <w:sz w:val="24"/>
        </w:rPr>
      </w:pPr>
      <w:r>
        <w:rPr>
          <w:rFonts w:hint="eastAsia" w:ascii="宋体" w:hAnsi="宋体"/>
          <w:sz w:val="24"/>
        </w:rPr>
        <w:t>经采购人、成交供应商双方协商一致解除本项目合同的；</w:t>
      </w:r>
    </w:p>
    <w:p>
      <w:pPr>
        <w:pStyle w:val="2"/>
        <w:numPr>
          <w:ilvl w:val="0"/>
          <w:numId w:val="6"/>
        </w:numPr>
        <w:adjustRightInd w:val="0"/>
        <w:snapToGrid w:val="0"/>
        <w:spacing w:before="156" w:line="276" w:lineRule="auto"/>
        <w:ind w:firstLineChars="0"/>
      </w:pPr>
      <w:r>
        <w:rPr>
          <w:rFonts w:hint="eastAsia" w:hAnsi="宋体"/>
          <w:sz w:val="24"/>
          <w:szCs w:val="24"/>
        </w:rPr>
        <w:t>按照满意度评价得到解除资格情形的。</w:t>
      </w:r>
    </w:p>
    <w:p>
      <w:pPr>
        <w:pStyle w:val="2"/>
        <w:adjustRightInd w:val="0"/>
        <w:snapToGrid w:val="0"/>
        <w:spacing w:before="156" w:line="276" w:lineRule="auto"/>
        <w:ind w:left="420" w:leftChars="200" w:firstLine="0" w:firstLineChars="0"/>
      </w:pPr>
    </w:p>
    <w:p>
      <w:pPr>
        <w:tabs>
          <w:tab w:val="left" w:pos="425"/>
        </w:tabs>
        <w:adjustRightInd w:val="0"/>
        <w:snapToGrid w:val="0"/>
        <w:spacing w:line="276" w:lineRule="auto"/>
        <w:ind w:left="420" w:leftChars="200"/>
        <w:jc w:val="left"/>
        <w:rPr>
          <w:rFonts w:ascii="宋体" w:hAnsi="宋体"/>
          <w:b/>
          <w:bCs/>
          <w:sz w:val="24"/>
        </w:rPr>
      </w:pPr>
      <w:r>
        <w:rPr>
          <w:rFonts w:hint="eastAsia" w:ascii="宋体" w:hAnsi="宋体"/>
          <w:b/>
          <w:bCs/>
          <w:sz w:val="24"/>
        </w:rPr>
        <w:t>五、违约行为及有关处罚规定</w:t>
      </w:r>
    </w:p>
    <w:p>
      <w:pPr>
        <w:numPr>
          <w:ilvl w:val="0"/>
          <w:numId w:val="7"/>
        </w:numPr>
        <w:adjustRightInd w:val="0"/>
        <w:snapToGrid w:val="0"/>
        <w:spacing w:line="276" w:lineRule="auto"/>
        <w:rPr>
          <w:rFonts w:ascii="宋体" w:hAnsi="宋体" w:cs="宋体"/>
          <w:sz w:val="24"/>
        </w:rPr>
      </w:pPr>
      <w:bookmarkStart w:id="0" w:name="_Hlk58668371"/>
      <w:bookmarkEnd w:id="0"/>
      <w:r>
        <w:rPr>
          <w:rFonts w:hint="eastAsia"/>
          <w:sz w:val="24"/>
        </w:rPr>
        <w:t>如成交供应商在服务期内未按本项目规定向采购人提供代理服务，情节轻微的，由采购人提出书面（或口头）警告，并通知暂停其代理业务，直至整改完毕。情节严重或有以下情形之一的，一经查实，采购人有权解除其招标采购代理合同，且在合同期满后重新招标时不接受其投标报名，并依法追究其法律责任：</w:t>
      </w:r>
    </w:p>
    <w:p>
      <w:pPr>
        <w:pStyle w:val="6"/>
        <w:widowControl/>
        <w:numPr>
          <w:ilvl w:val="0"/>
          <w:numId w:val="8"/>
        </w:numPr>
        <w:adjustRightInd w:val="0"/>
        <w:snapToGrid w:val="0"/>
        <w:spacing w:line="276" w:lineRule="auto"/>
        <w:ind w:right="300"/>
      </w:pPr>
      <w:r>
        <w:rPr>
          <w:rFonts w:hint="eastAsia" w:ascii="宋体" w:hAnsi="宋体" w:cs="宋体"/>
        </w:rPr>
        <w:t>违反诚实信用承诺，没有严格执行相关质量、服务和收费标准，损害采购人利益的；</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出现信用危机、财务危机、经营危机甚至破产、倒闭，无法继续履行招标采购代理义务的；</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提供虚假信息，误导或欺骗采购人或投标人，以谋取非法利益的，或非法获取与招投标项目有关的任何非法利益的；</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串通投标、转包、以他人名义或允许他人以自己的名义承揽业务等违规行为，在招标活动中弄虚作假、规避招标、肢解发包、明招暗定，非法影响招投标结果；</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无正当理由拒绝委托或未经采购人同意擅自将受委托项目转委托给第三方的；</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非法泄露招标采购信息或违反保密规定的；</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违反招投标和政府采购相关法律法规或招标公告、招标采购文件等出现重大失误造成恶劣影响的；</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因违规违纪行为，受到行业监督管理部门通报、查处等；</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承接代理服务工作出现严重失误，给采购人带来不良社会影响的；</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拒绝接受相关部门监督和检查的；</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不按要求保管采购资料的；</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向采购人行贿等不良行为；</w:t>
      </w:r>
    </w:p>
    <w:p>
      <w:pPr>
        <w:pStyle w:val="6"/>
        <w:widowControl/>
        <w:numPr>
          <w:ilvl w:val="0"/>
          <w:numId w:val="8"/>
        </w:numPr>
        <w:adjustRightInd w:val="0"/>
        <w:snapToGrid w:val="0"/>
        <w:spacing w:line="276" w:lineRule="auto"/>
        <w:ind w:right="300"/>
        <w:rPr>
          <w:rFonts w:ascii="宋体" w:hAnsi="宋体" w:cs="宋体"/>
        </w:rPr>
      </w:pPr>
      <w:r>
        <w:rPr>
          <w:rFonts w:hint="eastAsia" w:ascii="宋体" w:hAnsi="宋体" w:cs="宋体"/>
        </w:rPr>
        <w:t>违反招投标和政府采购相关法律法规的其他情形。</w:t>
      </w:r>
    </w:p>
    <w:p>
      <w:pPr>
        <w:pStyle w:val="6"/>
        <w:widowControl/>
        <w:numPr>
          <w:ilvl w:val="0"/>
          <w:numId w:val="9"/>
        </w:numPr>
        <w:adjustRightInd w:val="0"/>
        <w:snapToGrid w:val="0"/>
        <w:spacing w:line="276" w:lineRule="auto"/>
        <w:ind w:right="300"/>
        <w:rPr>
          <w:kern w:val="2"/>
        </w:rPr>
      </w:pPr>
      <w:r>
        <w:rPr>
          <w:rFonts w:hint="eastAsia"/>
          <w:kern w:val="2"/>
        </w:rPr>
        <w:t>若采购人因相关政策发生变更或根据上级文件的精神对计费标准和相关要求进行调整，成交供应商有权根据自身企业情况，作出继续接受委托或退出委托的选择，此时如果成交供应商选择退出委托，采购人将不作任何补偿。</w:t>
      </w:r>
    </w:p>
    <w:p>
      <w:pPr>
        <w:pStyle w:val="6"/>
        <w:widowControl/>
        <w:numPr>
          <w:ilvl w:val="0"/>
          <w:numId w:val="9"/>
        </w:numPr>
        <w:adjustRightInd w:val="0"/>
        <w:snapToGrid w:val="0"/>
        <w:spacing w:line="276" w:lineRule="auto"/>
        <w:ind w:right="300"/>
        <w:rPr>
          <w:kern w:val="2"/>
        </w:rPr>
      </w:pPr>
      <w:r>
        <w:rPr>
          <w:rFonts w:hint="eastAsia"/>
          <w:kern w:val="2"/>
        </w:rPr>
        <w:t>若采购人因相关政策发生变更或根据上级文件的精神须要终止本项目合同，采购人对成交供应商不作任何补偿。</w:t>
      </w:r>
    </w:p>
    <w:p>
      <w:pPr>
        <w:pStyle w:val="3"/>
        <w:adjustRightInd w:val="0"/>
        <w:snapToGrid w:val="0"/>
        <w:spacing w:line="276" w:lineRule="auto"/>
        <w:ind w:left="665" w:leftChars="202" w:hanging="241" w:hangingChars="100"/>
        <w:rPr>
          <w:rStyle w:val="9"/>
          <w:rFonts w:hAnsi="宋体" w:cs="宋体"/>
          <w:sz w:val="24"/>
          <w:szCs w:val="24"/>
        </w:rPr>
      </w:pPr>
      <w:r>
        <w:rPr>
          <w:rStyle w:val="9"/>
          <w:rFonts w:hint="eastAsia" w:hAnsi="宋体" w:cs="宋体"/>
          <w:sz w:val="24"/>
          <w:szCs w:val="24"/>
        </w:rPr>
        <w:t>六、招标代理服务收费</w:t>
      </w:r>
      <w:bookmarkStart w:id="1" w:name="_Hlk56156814"/>
      <w:bookmarkEnd w:id="1"/>
    </w:p>
    <w:p>
      <w:pPr>
        <w:pStyle w:val="3"/>
        <w:numPr>
          <w:ilvl w:val="0"/>
          <w:numId w:val="10"/>
        </w:numPr>
        <w:adjustRightInd w:val="0"/>
        <w:snapToGrid w:val="0"/>
        <w:spacing w:line="276" w:lineRule="auto"/>
        <w:ind w:firstLine="480" w:firstLineChars="200"/>
        <w:rPr>
          <w:sz w:val="24"/>
          <w:szCs w:val="24"/>
        </w:rPr>
      </w:pPr>
      <w:r>
        <w:rPr>
          <w:rFonts w:hint="eastAsia" w:hAnsi="宋体" w:cs="宋体"/>
          <w:sz w:val="24"/>
          <w:szCs w:val="24"/>
        </w:rPr>
        <w:t>按（发改价格</w:t>
      </w:r>
      <w:r>
        <w:rPr>
          <w:rFonts w:hint="eastAsia"/>
          <w:sz w:val="24"/>
          <w:szCs w:val="24"/>
        </w:rPr>
        <w:t>[2002]1980</w:t>
      </w:r>
      <w:r>
        <w:rPr>
          <w:rFonts w:hint="eastAsia" w:hAnsi="宋体" w:cs="宋体"/>
          <w:sz w:val="24"/>
          <w:szCs w:val="24"/>
        </w:rPr>
        <w:t>号文和</w:t>
      </w:r>
      <w:r>
        <w:rPr>
          <w:sz w:val="24"/>
          <w:szCs w:val="24"/>
        </w:rPr>
        <w:t>[2011]534</w:t>
      </w:r>
      <w:r>
        <w:rPr>
          <w:rFonts w:hint="eastAsia" w:hAnsi="宋体" w:cs="宋体"/>
          <w:sz w:val="24"/>
          <w:szCs w:val="24"/>
        </w:rPr>
        <w:t>号）收费标准，计算出标准收费再乘以成交折扣率，代理机构按不高于此折扣率向成交供应商收取招标代理服务费。招标代理服务费用涵盖提供政府采购项目采购代理全过程服务中发生的一切费用（包括采购文件、评审文件等所有资料的打印、复印、装订，专家劳务费用等）。</w:t>
      </w:r>
    </w:p>
    <w:p>
      <w:pPr>
        <w:pStyle w:val="6"/>
        <w:widowControl/>
        <w:numPr>
          <w:ilvl w:val="0"/>
          <w:numId w:val="10"/>
        </w:numPr>
        <w:adjustRightInd w:val="0"/>
        <w:snapToGrid w:val="0"/>
        <w:spacing w:after="0" w:afterAutospacing="0" w:line="276" w:lineRule="auto"/>
        <w:ind w:right="106" w:firstLine="480" w:firstLineChars="200"/>
        <w:rPr>
          <w:rFonts w:ascii="宋体" w:hAnsi="宋体" w:cs="宋体"/>
        </w:rPr>
      </w:pPr>
      <w:r>
        <w:rPr>
          <w:rFonts w:hint="eastAsia" w:ascii="宋体" w:hAnsi="宋体" w:cs="宋体"/>
        </w:rPr>
        <w:t>折扣率范围为</w:t>
      </w:r>
      <w:r>
        <w:t>0%</w:t>
      </w:r>
      <w:r>
        <w:rPr>
          <w:rFonts w:hint="eastAsia" w:ascii="宋体" w:hAnsi="宋体" w:cs="宋体"/>
        </w:rPr>
        <w:t>—</w:t>
      </w:r>
      <w:r>
        <w:t>90%</w:t>
      </w:r>
      <w:r>
        <w:rPr>
          <w:rFonts w:hint="eastAsia" w:ascii="宋体" w:hAnsi="宋体" w:cs="宋体"/>
        </w:rPr>
        <w:t>（含</w:t>
      </w:r>
      <w:r>
        <w:t>90%</w:t>
      </w:r>
      <w:r>
        <w:rPr>
          <w:rFonts w:hint="eastAsia" w:ascii="宋体" w:hAnsi="宋体" w:cs="宋体"/>
        </w:rPr>
        <w:t>），分子取整数，否则视为无效报价。</w:t>
      </w:r>
    </w:p>
    <w:p>
      <w:pPr>
        <w:pStyle w:val="6"/>
        <w:widowControl/>
        <w:numPr>
          <w:ilvl w:val="0"/>
          <w:numId w:val="10"/>
        </w:numPr>
        <w:adjustRightInd w:val="0"/>
        <w:snapToGrid w:val="0"/>
        <w:spacing w:after="0" w:afterAutospacing="0" w:line="276" w:lineRule="auto"/>
        <w:ind w:right="106" w:firstLine="480" w:firstLineChars="200"/>
        <w:rPr>
          <w:rFonts w:ascii="宋体" w:hAnsi="宋体" w:cs="宋体"/>
        </w:rPr>
      </w:pPr>
      <w:r>
        <w:rPr>
          <w:rFonts w:hint="eastAsia" w:ascii="宋体" w:hAnsi="宋体" w:cs="宋体"/>
        </w:rPr>
        <w:t>包组5</w:t>
      </w:r>
      <w:r>
        <w:rPr>
          <w:rFonts w:hint="eastAsia" w:cs="Calibri"/>
        </w:rPr>
        <w:t>产权交易类项目，根据产权交易项目评标方法进行分类：竞价项目代理收费</w:t>
      </w:r>
      <w:r>
        <w:rPr>
          <w:rFonts w:hint="eastAsia" w:ascii="宋体" w:hAnsi="宋体" w:cs="宋体"/>
        </w:rPr>
        <w:t>范围为</w:t>
      </w:r>
      <w:r>
        <w:t>0</w:t>
      </w:r>
      <w:r>
        <w:rPr>
          <w:rFonts w:hint="eastAsia" w:ascii="宋体" w:hAnsi="宋体" w:cs="宋体"/>
        </w:rPr>
        <w:t>—</w:t>
      </w:r>
      <w:r>
        <w:rPr>
          <w:rFonts w:hint="eastAsia"/>
        </w:rPr>
        <w:t>5000元/个；综合评分法项目</w:t>
      </w:r>
      <w:r>
        <w:rPr>
          <w:rFonts w:hint="eastAsia" w:cs="Calibri"/>
        </w:rPr>
        <w:t>代理收费</w:t>
      </w:r>
      <w:r>
        <w:rPr>
          <w:rFonts w:hint="eastAsia" w:ascii="宋体" w:hAnsi="宋体" w:cs="宋体"/>
        </w:rPr>
        <w:t>范围为</w:t>
      </w:r>
      <w:r>
        <w:t>0</w:t>
      </w:r>
      <w:r>
        <w:rPr>
          <w:rFonts w:hint="eastAsia" w:ascii="宋体" w:hAnsi="宋体" w:cs="宋体"/>
        </w:rPr>
        <w:t>—</w:t>
      </w:r>
      <w:r>
        <w:rPr>
          <w:rFonts w:hint="eastAsia"/>
        </w:rPr>
        <w:t>30000元/个。</w:t>
      </w:r>
    </w:p>
    <w:p>
      <w:pPr>
        <w:pStyle w:val="6"/>
        <w:widowControl/>
        <w:numPr>
          <w:ilvl w:val="0"/>
          <w:numId w:val="10"/>
        </w:numPr>
        <w:adjustRightInd w:val="0"/>
        <w:snapToGrid w:val="0"/>
        <w:spacing w:after="0" w:afterAutospacing="0" w:line="276" w:lineRule="auto"/>
        <w:ind w:right="106" w:firstLine="480" w:firstLineChars="200"/>
        <w:rPr>
          <w:rFonts w:ascii="宋体" w:hAnsi="宋体" w:cs="宋体"/>
        </w:rPr>
      </w:pPr>
      <w:r>
        <w:rPr>
          <w:rFonts w:hint="eastAsia" w:ascii="宋体" w:hAnsi="宋体" w:cs="宋体"/>
        </w:rPr>
        <w:t>为保证项目的服务质量，如果代理机构报折扣率过低，则需出具成本分析说明，若评委认为出具的成本分析说明无法作合理解释，则按低于成本价作无效投标处理。</w:t>
      </w:r>
    </w:p>
    <w:p>
      <w:pPr>
        <w:pStyle w:val="6"/>
        <w:widowControl/>
        <w:adjustRightInd w:val="0"/>
        <w:snapToGrid w:val="0"/>
        <w:spacing w:after="0" w:afterAutospacing="0" w:line="276" w:lineRule="auto"/>
        <w:ind w:left="420" w:leftChars="200" w:right="300"/>
        <w:rPr>
          <w:rFonts w:ascii="宋体" w:hAnsi="宋体" w:cs="宋体"/>
          <w:b/>
          <w:bCs/>
        </w:rPr>
      </w:pPr>
      <w:r>
        <w:rPr>
          <w:rFonts w:hint="eastAsia" w:ascii="宋体" w:hAnsi="宋体" w:cs="宋体"/>
          <w:b/>
          <w:bCs/>
        </w:rPr>
        <w:t>七、遴选和考核</w:t>
      </w:r>
    </w:p>
    <w:p>
      <w:pPr>
        <w:numPr>
          <w:ilvl w:val="0"/>
          <w:numId w:val="11"/>
        </w:numPr>
        <w:adjustRightInd w:val="0"/>
        <w:snapToGrid w:val="0"/>
        <w:spacing w:line="276" w:lineRule="auto"/>
        <w:ind w:firstLine="480" w:firstLineChars="200"/>
        <w:jc w:val="left"/>
        <w:rPr>
          <w:rFonts w:ascii="宋体" w:hAnsi="宋体"/>
          <w:sz w:val="24"/>
        </w:rPr>
      </w:pPr>
      <w:r>
        <w:rPr>
          <w:rFonts w:hint="eastAsia" w:ascii="宋体" w:hAnsi="宋体"/>
          <w:sz w:val="24"/>
        </w:rPr>
        <w:t>按照佛山市顺德区乐从镇健康共同体《代理机构管理制度》进行管理和满意度调查。</w:t>
      </w:r>
    </w:p>
    <w:p>
      <w:pPr>
        <w:pStyle w:val="6"/>
        <w:widowControl/>
        <w:numPr>
          <w:ilvl w:val="0"/>
          <w:numId w:val="11"/>
        </w:numPr>
        <w:adjustRightInd w:val="0"/>
        <w:snapToGrid w:val="0"/>
        <w:spacing w:after="0" w:afterAutospacing="0" w:line="276" w:lineRule="auto"/>
        <w:ind w:right="-94" w:firstLine="480" w:firstLineChars="200"/>
        <w:rPr>
          <w:rFonts w:ascii="宋体" w:hAnsi="宋体" w:cs="宋体"/>
        </w:rPr>
      </w:pPr>
      <w:r>
        <w:rPr>
          <w:rFonts w:hint="eastAsia" w:ascii="宋体" w:hAnsi="宋体"/>
        </w:rPr>
        <w:t>按照佛山市顺德区乐从镇健康共同体《代理机构管理制度》，根据同类型项目</w:t>
      </w:r>
      <w:r>
        <w:rPr>
          <w:rFonts w:hint="eastAsia" w:ascii="宋体" w:hAnsi="宋体" w:cs="宋体"/>
        </w:rPr>
        <w:t>按照入围代理机构排名6:3:1权重进行采购项目委托。</w:t>
      </w:r>
    </w:p>
    <w:p>
      <w:pPr>
        <w:numPr>
          <w:ilvl w:val="0"/>
          <w:numId w:val="11"/>
        </w:numPr>
        <w:adjustRightInd w:val="0"/>
        <w:snapToGrid w:val="0"/>
        <w:spacing w:line="276" w:lineRule="auto"/>
        <w:ind w:firstLine="480" w:firstLineChars="200"/>
        <w:rPr>
          <w:rFonts w:ascii="宋体" w:hAnsi="宋体"/>
          <w:sz w:val="24"/>
        </w:rPr>
      </w:pPr>
      <w:r>
        <w:rPr>
          <w:rFonts w:hint="eastAsia" w:ascii="宋体" w:hAnsi="宋体"/>
          <w:sz w:val="24"/>
        </w:rPr>
        <w:t>按照佛山市顺德区乐从镇健康共同体《代理机构管理制度》，对成交供应商进行委托项目的满意度评价或考核，以此作为项目委托、清退、增补、替换招标代理机构的参考依据，对代理机构进行管理监督，采购人有权根据实际情况修整满意度调查表内容。</w:t>
      </w:r>
      <w:bookmarkStart w:id="2" w:name="_GoBack"/>
      <w:bookmarkEnd w:id="2"/>
    </w:p>
    <w:p>
      <w:pPr>
        <w:pStyle w:val="2"/>
        <w:spacing w:before="156"/>
        <w:ind w:firstLine="480"/>
      </w:pPr>
      <w:r>
        <w:rPr>
          <w:rFonts w:hint="eastAsia" w:hAnsi="宋体"/>
          <w:sz w:val="24"/>
          <w:szCs w:val="24"/>
        </w:rPr>
        <w:t>（四）履约期间，如已成交供应商被取消代理资格，后续排名相应前移；且采购人有权从评分排名中顺延下一位进行补位，也可以重新组织遴选。</w:t>
      </w:r>
    </w:p>
    <w:p>
      <w:pPr>
        <w:pStyle w:val="6"/>
        <w:widowControl/>
        <w:adjustRightInd w:val="0"/>
        <w:snapToGrid w:val="0"/>
        <w:spacing w:after="0" w:afterAutospacing="0" w:line="276" w:lineRule="auto"/>
        <w:ind w:left="420" w:leftChars="200" w:right="300"/>
        <w:rPr>
          <w:rFonts w:ascii="宋体" w:hAnsi="宋体" w:cs="宋体"/>
          <w:b/>
          <w:bCs/>
        </w:rPr>
      </w:pPr>
      <w:r>
        <w:rPr>
          <w:rFonts w:hint="eastAsia" w:ascii="宋体" w:hAnsi="宋体" w:cs="宋体"/>
          <w:b/>
          <w:bCs/>
        </w:rPr>
        <w:t>八、评选方法</w:t>
      </w:r>
    </w:p>
    <w:p>
      <w:pPr>
        <w:pStyle w:val="6"/>
        <w:widowControl/>
        <w:adjustRightInd w:val="0"/>
        <w:snapToGrid w:val="0"/>
        <w:spacing w:after="0" w:afterAutospacing="0" w:line="276" w:lineRule="auto"/>
        <w:ind w:right="300" w:firstLine="480" w:firstLineChars="200"/>
        <w:rPr>
          <w:rFonts w:ascii="宋体" w:hAnsi="宋体" w:cs="宋体"/>
        </w:rPr>
      </w:pPr>
      <w:r>
        <w:rPr>
          <w:rFonts w:hint="eastAsia" w:ascii="宋体" w:hAnsi="宋体"/>
        </w:rPr>
        <w:t>本次评标采用综合评分法，经二次报价后，评审小组按各包组综合评分得分由高至低排名推荐候选人名单，候选名单需按要求上会集体决策后方可发布结果公示</w:t>
      </w:r>
      <w:r>
        <w:rPr>
          <w:rFonts w:hint="eastAsia" w:ascii="宋体" w:hAnsi="宋体" w:cs="宋体"/>
        </w:rPr>
        <w:t>。</w:t>
      </w:r>
    </w:p>
    <w:p>
      <w:pPr>
        <w:pStyle w:val="2"/>
        <w:spacing w:before="156"/>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95133"/>
    <w:multiLevelType w:val="singleLevel"/>
    <w:tmpl w:val="60A95133"/>
    <w:lvl w:ilvl="0" w:tentative="0">
      <w:start w:val="1"/>
      <w:numFmt w:val="decimal"/>
      <w:suff w:val="nothing"/>
      <w:lvlText w:val="%1．"/>
      <w:lvlJc w:val="left"/>
      <w:pPr>
        <w:ind w:left="0" w:firstLine="400"/>
      </w:pPr>
      <w:rPr>
        <w:rFonts w:hint="default"/>
      </w:rPr>
    </w:lvl>
  </w:abstractNum>
  <w:abstractNum w:abstractNumId="1">
    <w:nsid w:val="60A95286"/>
    <w:multiLevelType w:val="singleLevel"/>
    <w:tmpl w:val="60A95286"/>
    <w:lvl w:ilvl="0" w:tentative="0">
      <w:start w:val="1"/>
      <w:numFmt w:val="chineseCounting"/>
      <w:suff w:val="nothing"/>
      <w:lvlText w:val="（%1）"/>
      <w:lvlJc w:val="left"/>
      <w:pPr>
        <w:ind w:left="0" w:firstLine="420"/>
      </w:pPr>
      <w:rPr>
        <w:rFonts w:hint="eastAsia"/>
      </w:rPr>
    </w:lvl>
  </w:abstractNum>
  <w:abstractNum w:abstractNumId="2">
    <w:nsid w:val="60A952A0"/>
    <w:multiLevelType w:val="singleLevel"/>
    <w:tmpl w:val="60A952A0"/>
    <w:lvl w:ilvl="0" w:tentative="0">
      <w:start w:val="1"/>
      <w:numFmt w:val="chineseCounting"/>
      <w:suff w:val="nothing"/>
      <w:lvlText w:val="（%1）"/>
      <w:lvlJc w:val="left"/>
      <w:pPr>
        <w:ind w:left="0" w:firstLine="420"/>
      </w:pPr>
      <w:rPr>
        <w:rFonts w:hint="eastAsia"/>
      </w:rPr>
    </w:lvl>
  </w:abstractNum>
  <w:abstractNum w:abstractNumId="3">
    <w:nsid w:val="60A9BBCA"/>
    <w:multiLevelType w:val="singleLevel"/>
    <w:tmpl w:val="60A9BBCA"/>
    <w:lvl w:ilvl="0" w:tentative="0">
      <w:start w:val="1"/>
      <w:numFmt w:val="decimal"/>
      <w:suff w:val="nothing"/>
      <w:lvlText w:val="%1．"/>
      <w:lvlJc w:val="left"/>
      <w:pPr>
        <w:ind w:left="0" w:firstLine="400"/>
      </w:pPr>
      <w:rPr>
        <w:rFonts w:hint="default"/>
      </w:rPr>
    </w:lvl>
  </w:abstractNum>
  <w:abstractNum w:abstractNumId="4">
    <w:nsid w:val="60A9BBFE"/>
    <w:multiLevelType w:val="singleLevel"/>
    <w:tmpl w:val="60A9BBFE"/>
    <w:lvl w:ilvl="0" w:tentative="0">
      <w:start w:val="1"/>
      <w:numFmt w:val="decimal"/>
      <w:suff w:val="nothing"/>
      <w:lvlText w:val="%1．"/>
      <w:lvlJc w:val="left"/>
      <w:pPr>
        <w:ind w:left="0" w:firstLine="400"/>
      </w:pPr>
      <w:rPr>
        <w:rFonts w:hint="default"/>
      </w:rPr>
    </w:lvl>
  </w:abstractNum>
  <w:abstractNum w:abstractNumId="5">
    <w:nsid w:val="60A9BF1F"/>
    <w:multiLevelType w:val="singleLevel"/>
    <w:tmpl w:val="60A9BF1F"/>
    <w:lvl w:ilvl="0" w:tentative="0">
      <w:start w:val="1"/>
      <w:numFmt w:val="decimal"/>
      <w:suff w:val="nothing"/>
      <w:lvlText w:val="%1．"/>
      <w:lvlJc w:val="left"/>
      <w:pPr>
        <w:ind w:left="0" w:firstLine="400"/>
      </w:pPr>
      <w:rPr>
        <w:rFonts w:hint="default"/>
      </w:rPr>
    </w:lvl>
  </w:abstractNum>
  <w:abstractNum w:abstractNumId="6">
    <w:nsid w:val="60A9C007"/>
    <w:multiLevelType w:val="singleLevel"/>
    <w:tmpl w:val="60A9C007"/>
    <w:lvl w:ilvl="0" w:tentative="0">
      <w:start w:val="1"/>
      <w:numFmt w:val="decimal"/>
      <w:suff w:val="nothing"/>
      <w:lvlText w:val="%1．"/>
      <w:lvlJc w:val="left"/>
      <w:pPr>
        <w:ind w:left="0" w:firstLine="400"/>
      </w:pPr>
      <w:rPr>
        <w:rFonts w:hint="default"/>
      </w:rPr>
    </w:lvl>
  </w:abstractNum>
  <w:abstractNum w:abstractNumId="7">
    <w:nsid w:val="60A9C103"/>
    <w:multiLevelType w:val="singleLevel"/>
    <w:tmpl w:val="60A9C103"/>
    <w:lvl w:ilvl="0" w:tentative="0">
      <w:start w:val="1"/>
      <w:numFmt w:val="decimal"/>
      <w:suff w:val="nothing"/>
      <w:lvlText w:val="%1．"/>
      <w:lvlJc w:val="left"/>
      <w:pPr>
        <w:ind w:left="0" w:firstLine="400"/>
      </w:pPr>
      <w:rPr>
        <w:rFonts w:hint="default"/>
      </w:rPr>
    </w:lvl>
  </w:abstractNum>
  <w:abstractNum w:abstractNumId="8">
    <w:nsid w:val="60A9C2AD"/>
    <w:multiLevelType w:val="singleLevel"/>
    <w:tmpl w:val="60A9C2AD"/>
    <w:lvl w:ilvl="0" w:tentative="0">
      <w:start w:val="1"/>
      <w:numFmt w:val="decimal"/>
      <w:suff w:val="nothing"/>
      <w:lvlText w:val="%1．"/>
      <w:lvlJc w:val="left"/>
      <w:pPr>
        <w:ind w:left="0" w:firstLine="400"/>
      </w:pPr>
      <w:rPr>
        <w:rFonts w:hint="default"/>
      </w:rPr>
    </w:lvl>
  </w:abstractNum>
  <w:abstractNum w:abstractNumId="9">
    <w:nsid w:val="60A9C2C3"/>
    <w:multiLevelType w:val="singleLevel"/>
    <w:tmpl w:val="60A9C2C3"/>
    <w:lvl w:ilvl="0" w:tentative="0">
      <w:start w:val="1"/>
      <w:numFmt w:val="decimalEnclosedCircleChinese"/>
      <w:suff w:val="nothing"/>
      <w:lvlText w:val="%1　"/>
      <w:lvlJc w:val="left"/>
      <w:pPr>
        <w:ind w:left="0" w:firstLine="400"/>
      </w:pPr>
      <w:rPr>
        <w:rFonts w:hint="eastAsia"/>
      </w:rPr>
    </w:lvl>
  </w:abstractNum>
  <w:abstractNum w:abstractNumId="10">
    <w:nsid w:val="60A9C2E6"/>
    <w:multiLevelType w:val="singleLevel"/>
    <w:tmpl w:val="60A9C2E6"/>
    <w:lvl w:ilvl="0" w:tentative="0">
      <w:start w:val="2"/>
      <w:numFmt w:val="decimal"/>
      <w:suff w:val="nothing"/>
      <w:lvlText w:val="%1．"/>
      <w:lvlJc w:val="left"/>
      <w:pPr>
        <w:ind w:left="0" w:firstLine="403"/>
      </w:pPr>
      <w:rPr>
        <w:rFonts w:hint="default"/>
      </w:rPr>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NGJkNTE2ZDMzZGU4OGJkNjUwMDc5OTNlOGJkNTcifQ=="/>
  </w:docVars>
  <w:rsids>
    <w:rsidRoot w:val="00E96486"/>
    <w:rsid w:val="00385B2A"/>
    <w:rsid w:val="003A4238"/>
    <w:rsid w:val="005447FC"/>
    <w:rsid w:val="007339D0"/>
    <w:rsid w:val="007D1750"/>
    <w:rsid w:val="00E96486"/>
    <w:rsid w:val="152F25BA"/>
    <w:rsid w:val="218830ED"/>
    <w:rsid w:val="2399664A"/>
    <w:rsid w:val="3B3B31B7"/>
    <w:rsid w:val="4AB53506"/>
    <w:rsid w:val="4DD70AAE"/>
    <w:rsid w:val="7D5C1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uiPriority w:val="0"/>
    <w:pPr>
      <w:tabs>
        <w:tab w:val="left" w:pos="750"/>
      </w:tabs>
      <w:spacing w:beforeLines="50" w:line="300" w:lineRule="auto"/>
      <w:ind w:firstLine="200" w:firstLineChars="200"/>
    </w:pPr>
    <w:rPr>
      <w:rFonts w:ascii="宋体" w:hAnsi="Times New Roman"/>
      <w:szCs w:val="20"/>
    </w:rPr>
  </w:style>
  <w:style w:type="paragraph" w:styleId="3">
    <w:name w:val="Plain Text"/>
    <w:basedOn w:val="1"/>
    <w:qFormat/>
    <w:uiPriority w:val="0"/>
    <w:pPr>
      <w:spacing w:line="360" w:lineRule="auto"/>
      <w:ind w:firstLine="510"/>
    </w:pPr>
    <w:rPr>
      <w:rFonts w:ascii="宋体" w:hAnsi="Courier New"/>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paragraph" w:customStyle="1" w:styleId="10">
    <w:name w:val="_Style 1"/>
    <w:basedOn w:val="1"/>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687</Words>
  <Characters>3920</Characters>
  <Lines>32</Lines>
  <Paragraphs>9</Paragraphs>
  <TotalTime>25</TotalTime>
  <ScaleCrop>false</ScaleCrop>
  <LinksUpToDate>false</LinksUpToDate>
  <CharactersWithSpaces>4598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2023-11-07T08:37:00Z</dcterms:created>
  <dc:creator>lcyy</dc:creator>
  <cp:lastModifiedBy>Sunny</cp:lastModifiedBy>
  <dcterms:modified xsi:type="dcterms:W3CDTF">2023-11-08T02:07:20Z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39D581DE9A484AC8B344BCF55219AEF7_12</vt:lpwstr>
  </property>
</Properties>
</file>